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BA1" w:rsidRDefault="00C03BA1" w:rsidP="00C03BA1">
      <w:pPr>
        <w:rPr>
          <w:rFonts w:ascii="Arial" w:hAnsi="Arial" w:cs="Arial"/>
          <w:b/>
          <w:sz w:val="28"/>
          <w:szCs w:val="28"/>
        </w:rPr>
      </w:pPr>
      <w:r w:rsidRPr="00763397">
        <w:rPr>
          <w:b/>
        </w:rPr>
        <w:object w:dxaOrig="8041" w:dyaOrig="6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9pt;height:68.85pt" o:ole="" fillcolor="window">
            <v:imagedata r:id="rId6" o:title=""/>
          </v:shape>
          <o:OLEObject Type="Embed" ProgID="PBrush" ShapeID="_x0000_i1025" DrawAspect="Content" ObjectID="_1419334278" r:id="rId7">
            <o:FieldCodes>\s \* mergeformat</o:FieldCodes>
          </o:OLEObject>
        </w:object>
      </w:r>
      <w:r>
        <w:rPr>
          <w:b/>
        </w:rPr>
        <w:tab/>
      </w:r>
      <w:r>
        <w:rPr>
          <w:b/>
        </w:rPr>
        <w:tab/>
      </w:r>
      <w:r>
        <w:rPr>
          <w:b/>
        </w:rPr>
        <w:tab/>
      </w:r>
      <w:r>
        <w:rPr>
          <w:b/>
        </w:rPr>
        <w:tab/>
      </w:r>
      <w:r>
        <w:rPr>
          <w:b/>
        </w:rPr>
        <w:tab/>
      </w:r>
      <w:r>
        <w:rPr>
          <w:b/>
        </w:rPr>
        <w:tab/>
      </w:r>
      <w:r>
        <w:rPr>
          <w:b/>
        </w:rPr>
        <w:tab/>
      </w:r>
      <w:r>
        <w:rPr>
          <w:b/>
        </w:rPr>
        <w:tab/>
      </w:r>
      <w:r>
        <w:rPr>
          <w:noProof/>
          <w:lang w:val="en-ZA" w:eastAsia="en-ZA"/>
        </w:rPr>
        <w:drawing>
          <wp:inline distT="0" distB="0" distL="0" distR="0">
            <wp:extent cx="628650" cy="1019175"/>
            <wp:effectExtent l="19050" t="0" r="0" b="0"/>
            <wp:docPr id="6" name="Picture 5"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P_LOGO"/>
                    <pic:cNvPicPr>
                      <a:picLocks noChangeAspect="1" noChangeArrowheads="1"/>
                    </pic:cNvPicPr>
                  </pic:nvPicPr>
                  <pic:blipFill>
                    <a:blip r:embed="rId8" cstate="print"/>
                    <a:srcRect/>
                    <a:stretch>
                      <a:fillRect/>
                    </a:stretch>
                  </pic:blipFill>
                  <pic:spPr bwMode="auto">
                    <a:xfrm>
                      <a:off x="0" y="0"/>
                      <a:ext cx="628650" cy="1019175"/>
                    </a:xfrm>
                    <a:prstGeom prst="rect">
                      <a:avLst/>
                    </a:prstGeom>
                    <a:noFill/>
                    <a:ln w="9525">
                      <a:noFill/>
                      <a:miter lim="800000"/>
                      <a:headEnd/>
                      <a:tailEnd/>
                    </a:ln>
                  </pic:spPr>
                </pic:pic>
              </a:graphicData>
            </a:graphic>
          </wp:inline>
        </w:drawing>
      </w:r>
    </w:p>
    <w:p w:rsidR="00C03BA1" w:rsidRDefault="00C03BA1" w:rsidP="00C03BA1">
      <w:pPr>
        <w:rPr>
          <w:rFonts w:ascii="Arial" w:hAnsi="Arial" w:cs="Arial"/>
          <w:b/>
          <w:sz w:val="28"/>
          <w:szCs w:val="28"/>
        </w:rPr>
      </w:pPr>
    </w:p>
    <w:p w:rsidR="00C03BA1" w:rsidRPr="00C23614" w:rsidRDefault="00C03BA1" w:rsidP="00C03BA1">
      <w:pPr>
        <w:jc w:val="center"/>
        <w:rPr>
          <w:rFonts w:ascii="Arial" w:hAnsi="Arial" w:cs="Arial"/>
          <w:b/>
          <w:smallCaps/>
          <w:sz w:val="32"/>
          <w:szCs w:val="32"/>
        </w:rPr>
      </w:pPr>
      <w:bookmarkStart w:id="0" w:name="_Toc151373636"/>
      <w:bookmarkStart w:id="1" w:name="_Toc151374015"/>
      <w:bookmarkStart w:id="2" w:name="_Toc151375222"/>
      <w:bookmarkStart w:id="3" w:name="_Toc151375336"/>
      <w:r w:rsidRPr="00C23614">
        <w:rPr>
          <w:rFonts w:ascii="Arial" w:hAnsi="Arial" w:cs="Arial"/>
          <w:b/>
          <w:smallCaps/>
          <w:sz w:val="32"/>
          <w:szCs w:val="32"/>
        </w:rPr>
        <w:t>Lesotho</w:t>
      </w:r>
    </w:p>
    <w:p w:rsidR="004E02BC" w:rsidRPr="00C23614" w:rsidRDefault="00C23614" w:rsidP="00C03BA1">
      <w:pPr>
        <w:jc w:val="center"/>
        <w:rPr>
          <w:rFonts w:ascii="Arial" w:hAnsi="Arial" w:cs="Arial"/>
          <w:b/>
          <w:sz w:val="32"/>
          <w:szCs w:val="32"/>
        </w:rPr>
      </w:pPr>
      <w:r w:rsidRPr="00C23614">
        <w:rPr>
          <w:rFonts w:ascii="Arial" w:hAnsi="Arial" w:cs="Arial"/>
          <w:b/>
          <w:smallCaps/>
          <w:sz w:val="32"/>
          <w:szCs w:val="32"/>
        </w:rPr>
        <w:t>Africa Adaptation P</w:t>
      </w:r>
      <w:r w:rsidR="00C03BA1" w:rsidRPr="00C23614">
        <w:rPr>
          <w:rFonts w:ascii="Arial" w:hAnsi="Arial" w:cs="Arial"/>
          <w:b/>
          <w:smallCaps/>
          <w:sz w:val="32"/>
          <w:szCs w:val="32"/>
        </w:rPr>
        <w:t>ro</w:t>
      </w:r>
      <w:r w:rsidR="00114673" w:rsidRPr="00C23614">
        <w:rPr>
          <w:rFonts w:ascii="Arial" w:hAnsi="Arial" w:cs="Arial"/>
          <w:b/>
          <w:smallCaps/>
          <w:sz w:val="32"/>
          <w:szCs w:val="32"/>
        </w:rPr>
        <w:t>gr</w:t>
      </w:r>
      <w:r w:rsidR="00C03BA1" w:rsidRPr="00C23614">
        <w:rPr>
          <w:rFonts w:ascii="Arial" w:hAnsi="Arial" w:cs="Arial"/>
          <w:b/>
          <w:smallCaps/>
          <w:sz w:val="32"/>
          <w:szCs w:val="32"/>
        </w:rPr>
        <w:t>a</w:t>
      </w:r>
      <w:r w:rsidR="00114673" w:rsidRPr="00C23614">
        <w:rPr>
          <w:rFonts w:ascii="Arial" w:hAnsi="Arial" w:cs="Arial"/>
          <w:b/>
          <w:smallCaps/>
          <w:sz w:val="32"/>
          <w:szCs w:val="32"/>
        </w:rPr>
        <w:t>m</w:t>
      </w:r>
      <w:r w:rsidR="00C03BA1" w:rsidRPr="00C23614">
        <w:rPr>
          <w:rFonts w:ascii="Arial" w:hAnsi="Arial" w:cs="Arial"/>
          <w:b/>
          <w:smallCaps/>
          <w:sz w:val="32"/>
          <w:szCs w:val="32"/>
        </w:rPr>
        <w:t>me</w:t>
      </w:r>
      <w:bookmarkEnd w:id="0"/>
      <w:bookmarkEnd w:id="1"/>
      <w:bookmarkEnd w:id="2"/>
      <w:bookmarkEnd w:id="3"/>
    </w:p>
    <w:p w:rsidR="006E2AC1" w:rsidRDefault="00114673" w:rsidP="00114673">
      <w:pPr>
        <w:jc w:val="center"/>
        <w:rPr>
          <w:rFonts w:ascii="Arial" w:hAnsi="Arial" w:cs="Arial"/>
          <w:b/>
          <w:sz w:val="32"/>
          <w:szCs w:val="32"/>
        </w:rPr>
      </w:pPr>
      <w:r w:rsidRPr="00C23614">
        <w:rPr>
          <w:rFonts w:ascii="Arial" w:hAnsi="Arial" w:cs="Arial"/>
          <w:b/>
          <w:sz w:val="32"/>
          <w:szCs w:val="32"/>
        </w:rPr>
        <w:t xml:space="preserve">2010 PROGRESS REPORT </w:t>
      </w:r>
    </w:p>
    <w:p w:rsidR="00C23614" w:rsidRDefault="00C23614" w:rsidP="00114673">
      <w:pPr>
        <w:jc w:val="center"/>
        <w:rPr>
          <w:rFonts w:ascii="Arial" w:hAnsi="Arial" w:cs="Arial"/>
          <w:b/>
          <w:sz w:val="32"/>
          <w:szCs w:val="32"/>
        </w:rPr>
      </w:pPr>
    </w:p>
    <w:p w:rsidR="00C23614" w:rsidRDefault="00C23614" w:rsidP="00114673">
      <w:pPr>
        <w:jc w:val="center"/>
        <w:rPr>
          <w:rFonts w:ascii="Arial" w:hAnsi="Arial" w:cs="Arial"/>
          <w:b/>
          <w:sz w:val="32"/>
          <w:szCs w:val="32"/>
        </w:rPr>
      </w:pPr>
    </w:p>
    <w:p w:rsidR="00C23614" w:rsidRDefault="00C23614" w:rsidP="00114673">
      <w:pPr>
        <w:jc w:val="center"/>
        <w:rPr>
          <w:rFonts w:ascii="Arial" w:hAnsi="Arial" w:cs="Arial"/>
          <w:b/>
          <w:sz w:val="32"/>
          <w:szCs w:val="32"/>
        </w:rPr>
      </w:pPr>
    </w:p>
    <w:p w:rsidR="00C23614" w:rsidRDefault="00C23614" w:rsidP="00114673">
      <w:pPr>
        <w:jc w:val="center"/>
        <w:rPr>
          <w:rFonts w:ascii="Arial" w:hAnsi="Arial" w:cs="Arial"/>
          <w:b/>
          <w:sz w:val="32"/>
          <w:szCs w:val="32"/>
        </w:rPr>
      </w:pPr>
    </w:p>
    <w:p w:rsidR="00C23614" w:rsidRDefault="00C23614" w:rsidP="00114673">
      <w:pPr>
        <w:jc w:val="center"/>
        <w:rPr>
          <w:rFonts w:ascii="Arial" w:hAnsi="Arial" w:cs="Arial"/>
          <w:b/>
          <w:sz w:val="32"/>
          <w:szCs w:val="32"/>
        </w:rPr>
      </w:pPr>
    </w:p>
    <w:p w:rsidR="00C23614" w:rsidRDefault="00C23614" w:rsidP="00114673">
      <w:pPr>
        <w:jc w:val="center"/>
        <w:rPr>
          <w:rFonts w:ascii="Arial" w:hAnsi="Arial" w:cs="Arial"/>
          <w:b/>
          <w:sz w:val="32"/>
          <w:szCs w:val="32"/>
        </w:rPr>
      </w:pPr>
    </w:p>
    <w:p w:rsidR="00C23614" w:rsidRDefault="00C23614" w:rsidP="00114673">
      <w:pPr>
        <w:jc w:val="center"/>
        <w:rPr>
          <w:rFonts w:ascii="Arial" w:hAnsi="Arial" w:cs="Arial"/>
          <w:b/>
          <w:sz w:val="32"/>
          <w:szCs w:val="32"/>
        </w:rPr>
      </w:pPr>
    </w:p>
    <w:p w:rsidR="00C23614" w:rsidRDefault="00C23614" w:rsidP="00114673">
      <w:pPr>
        <w:jc w:val="center"/>
        <w:rPr>
          <w:rFonts w:ascii="Arial" w:hAnsi="Arial" w:cs="Arial"/>
          <w:b/>
          <w:sz w:val="32"/>
          <w:szCs w:val="32"/>
        </w:rPr>
      </w:pPr>
    </w:p>
    <w:p w:rsidR="00C23614" w:rsidRDefault="00C23614" w:rsidP="00114673">
      <w:pPr>
        <w:jc w:val="center"/>
        <w:rPr>
          <w:rFonts w:ascii="Arial" w:hAnsi="Arial" w:cs="Arial"/>
          <w:b/>
          <w:sz w:val="32"/>
          <w:szCs w:val="32"/>
        </w:rPr>
      </w:pPr>
    </w:p>
    <w:p w:rsidR="00C23614" w:rsidRDefault="00C23614" w:rsidP="00114673">
      <w:pPr>
        <w:jc w:val="center"/>
        <w:rPr>
          <w:rFonts w:ascii="Arial" w:hAnsi="Arial" w:cs="Arial"/>
          <w:b/>
          <w:sz w:val="32"/>
          <w:szCs w:val="32"/>
        </w:rPr>
      </w:pPr>
    </w:p>
    <w:p w:rsidR="00C23614" w:rsidRDefault="00C23614" w:rsidP="00114673">
      <w:pPr>
        <w:jc w:val="center"/>
        <w:rPr>
          <w:rFonts w:ascii="Arial" w:hAnsi="Arial" w:cs="Arial"/>
          <w:b/>
          <w:sz w:val="32"/>
          <w:szCs w:val="32"/>
        </w:rPr>
      </w:pPr>
    </w:p>
    <w:p w:rsidR="00C23614" w:rsidRDefault="00C23614" w:rsidP="00114673">
      <w:pPr>
        <w:jc w:val="center"/>
        <w:rPr>
          <w:rFonts w:ascii="Arial" w:hAnsi="Arial" w:cs="Arial"/>
          <w:b/>
          <w:sz w:val="32"/>
          <w:szCs w:val="32"/>
        </w:rPr>
      </w:pPr>
    </w:p>
    <w:p w:rsidR="00C23614" w:rsidRDefault="00C23614" w:rsidP="00114673">
      <w:pPr>
        <w:jc w:val="center"/>
        <w:rPr>
          <w:rFonts w:ascii="Arial" w:hAnsi="Arial" w:cs="Arial"/>
          <w:b/>
          <w:sz w:val="32"/>
          <w:szCs w:val="32"/>
        </w:rPr>
      </w:pPr>
    </w:p>
    <w:p w:rsidR="00C23614" w:rsidRDefault="00C23614" w:rsidP="00114673">
      <w:pPr>
        <w:jc w:val="center"/>
        <w:rPr>
          <w:rFonts w:ascii="Arial" w:hAnsi="Arial" w:cs="Arial"/>
          <w:b/>
          <w:sz w:val="32"/>
          <w:szCs w:val="32"/>
        </w:rPr>
      </w:pPr>
    </w:p>
    <w:p w:rsidR="00C23614" w:rsidRPr="00C23614" w:rsidRDefault="00C23614" w:rsidP="00114673">
      <w:pPr>
        <w:jc w:val="center"/>
        <w:rPr>
          <w:rFonts w:ascii="Arial" w:hAnsi="Arial" w:cs="Arial"/>
          <w:sz w:val="32"/>
          <w:szCs w:val="32"/>
        </w:rPr>
      </w:pPr>
    </w:p>
    <w:p w:rsidR="005379A8" w:rsidRPr="00D317CB" w:rsidRDefault="00DC3443" w:rsidP="006423B2">
      <w:pPr>
        <w:jc w:val="both"/>
        <w:rPr>
          <w:rFonts w:cs="Arial"/>
          <w:b/>
          <w:sz w:val="28"/>
          <w:szCs w:val="28"/>
        </w:rPr>
      </w:pPr>
      <w:r w:rsidRPr="00D317CB">
        <w:rPr>
          <w:rFonts w:cs="Arial"/>
          <w:b/>
          <w:sz w:val="28"/>
          <w:szCs w:val="28"/>
        </w:rPr>
        <w:t xml:space="preserve">Summary of project status and key achievements and challenges: </w:t>
      </w:r>
    </w:p>
    <w:p w:rsidR="00DC3443" w:rsidRPr="00D317CB" w:rsidRDefault="001966EA" w:rsidP="006423B2">
      <w:pPr>
        <w:jc w:val="both"/>
        <w:rPr>
          <w:rFonts w:cs="Arial"/>
          <w:b/>
          <w:sz w:val="24"/>
          <w:szCs w:val="24"/>
        </w:rPr>
      </w:pPr>
      <w:r w:rsidRPr="00D317CB">
        <w:rPr>
          <w:rFonts w:cs="Arial"/>
          <w:sz w:val="24"/>
          <w:szCs w:val="24"/>
        </w:rPr>
        <w:t xml:space="preserve">The </w:t>
      </w:r>
      <w:r w:rsidR="003C7D3D" w:rsidRPr="00D317CB">
        <w:rPr>
          <w:rFonts w:cs="Arial"/>
          <w:sz w:val="24"/>
          <w:szCs w:val="24"/>
        </w:rPr>
        <w:t>project document</w:t>
      </w:r>
      <w:r w:rsidR="000530E9" w:rsidRPr="00D317CB">
        <w:rPr>
          <w:rFonts w:cs="Arial"/>
          <w:sz w:val="24"/>
          <w:szCs w:val="24"/>
        </w:rPr>
        <w:t xml:space="preserve"> (PD)</w:t>
      </w:r>
      <w:r w:rsidR="003C7D3D" w:rsidRPr="00D317CB">
        <w:rPr>
          <w:rFonts w:cs="Arial"/>
          <w:sz w:val="24"/>
          <w:szCs w:val="24"/>
        </w:rPr>
        <w:t xml:space="preserve"> of the Africa Climate Change Adaptation approved by the Government of Lesotho (GOL) and the United Nations Deve</w:t>
      </w:r>
      <w:r w:rsidR="00C36E39" w:rsidRPr="00D317CB">
        <w:rPr>
          <w:rFonts w:cs="Arial"/>
          <w:sz w:val="24"/>
          <w:szCs w:val="24"/>
        </w:rPr>
        <w:t xml:space="preserve">lopment Programme (UNDP) on May 06, </w:t>
      </w:r>
      <w:r w:rsidR="003C7D3D" w:rsidRPr="00D317CB">
        <w:rPr>
          <w:rFonts w:cs="Arial"/>
          <w:sz w:val="24"/>
          <w:szCs w:val="24"/>
        </w:rPr>
        <w:t>2010 outlines in detail the planned outputs, strategies and actions needed to achieve the project objectives.</w:t>
      </w:r>
      <w:r w:rsidR="000530E9" w:rsidRPr="00D317CB">
        <w:rPr>
          <w:rFonts w:cs="Arial"/>
          <w:sz w:val="24"/>
          <w:szCs w:val="24"/>
        </w:rPr>
        <w:t xml:space="preserve"> The PD is the basis for the </w:t>
      </w:r>
      <w:r w:rsidR="0027447B" w:rsidRPr="00D317CB">
        <w:rPr>
          <w:rFonts w:cs="Arial"/>
          <w:sz w:val="24"/>
          <w:szCs w:val="24"/>
        </w:rPr>
        <w:t>project strategic plan spanning the duration of the project (January 2010-December 2011). The period Jan</w:t>
      </w:r>
      <w:r w:rsidR="009E6BF6" w:rsidRPr="00D317CB">
        <w:rPr>
          <w:rFonts w:cs="Arial"/>
          <w:sz w:val="24"/>
          <w:szCs w:val="24"/>
        </w:rPr>
        <w:t>uary to July 2010 had</w:t>
      </w:r>
      <w:r w:rsidR="0027447B" w:rsidRPr="00D317CB">
        <w:rPr>
          <w:rFonts w:cs="Arial"/>
          <w:sz w:val="24"/>
          <w:szCs w:val="24"/>
        </w:rPr>
        <w:t xml:space="preserve"> been through transit </w:t>
      </w:r>
      <w:r w:rsidR="009E6BF6" w:rsidRPr="00D317CB">
        <w:rPr>
          <w:rFonts w:cs="Arial"/>
          <w:sz w:val="24"/>
          <w:szCs w:val="24"/>
        </w:rPr>
        <w:t xml:space="preserve">project leadership, </w:t>
      </w:r>
      <w:r w:rsidR="0027447B" w:rsidRPr="00D317CB">
        <w:rPr>
          <w:rFonts w:cs="Arial"/>
          <w:sz w:val="24"/>
          <w:szCs w:val="24"/>
        </w:rPr>
        <w:t xml:space="preserve">management and implementation under the </w:t>
      </w:r>
      <w:r w:rsidR="009E6BF6" w:rsidRPr="00D317CB">
        <w:rPr>
          <w:rFonts w:cs="Arial"/>
          <w:sz w:val="24"/>
          <w:szCs w:val="24"/>
        </w:rPr>
        <w:t xml:space="preserve">direction of the Technical Advisory Committee (TAC), a body consisting of senior personnel from key stakeholders GOL and UNDP. The Interim Project Manager had been on board to stir the implementation. During this period the TAC </w:t>
      </w:r>
      <w:r w:rsidR="005C7EDB" w:rsidRPr="00D317CB">
        <w:rPr>
          <w:rFonts w:cs="Arial"/>
          <w:sz w:val="24"/>
          <w:szCs w:val="24"/>
        </w:rPr>
        <w:t>approved the work plan</w:t>
      </w:r>
      <w:r w:rsidR="009E6BF6" w:rsidRPr="00D317CB">
        <w:rPr>
          <w:rFonts w:cs="Arial"/>
          <w:sz w:val="24"/>
          <w:szCs w:val="24"/>
        </w:rPr>
        <w:t xml:space="preserve"> based on quick wins and derived from the strategic plan</w:t>
      </w:r>
      <w:r w:rsidR="00202AEE" w:rsidRPr="00D317CB">
        <w:rPr>
          <w:rFonts w:cs="Arial"/>
          <w:sz w:val="24"/>
          <w:szCs w:val="24"/>
        </w:rPr>
        <w:t xml:space="preserve">. </w:t>
      </w:r>
      <w:r w:rsidR="00114673" w:rsidRPr="00D317CB">
        <w:rPr>
          <w:rFonts w:cs="Arial"/>
          <w:sz w:val="24"/>
          <w:szCs w:val="24"/>
        </w:rPr>
        <w:t xml:space="preserve">The third quarter of 2010 marked the interface between the out-going Interim Project Manager (IPM) and the incoming substantive Project Manager (PM) </w:t>
      </w:r>
      <w:r w:rsidR="00B607C9" w:rsidRPr="00D317CB">
        <w:rPr>
          <w:rFonts w:cs="Arial"/>
          <w:sz w:val="24"/>
          <w:szCs w:val="24"/>
        </w:rPr>
        <w:t xml:space="preserve">arrived in August 2010 followed by the </w:t>
      </w:r>
      <w:r w:rsidR="00114673" w:rsidRPr="00D317CB">
        <w:rPr>
          <w:rFonts w:cs="Arial"/>
          <w:sz w:val="24"/>
          <w:szCs w:val="24"/>
        </w:rPr>
        <w:t xml:space="preserve">with the latter </w:t>
      </w:r>
      <w:r w:rsidR="00B607C9" w:rsidRPr="00D317CB">
        <w:rPr>
          <w:rFonts w:cs="Arial"/>
          <w:sz w:val="24"/>
          <w:szCs w:val="24"/>
        </w:rPr>
        <w:t>He spent some familiarizing himself  with  project implementations details. Also, b</w:t>
      </w:r>
      <w:r w:rsidR="00114673" w:rsidRPr="00D317CB">
        <w:rPr>
          <w:rFonts w:cs="Arial"/>
          <w:sz w:val="24"/>
          <w:szCs w:val="24"/>
        </w:rPr>
        <w:t xml:space="preserve">oth he and the </w:t>
      </w:r>
      <w:r w:rsidR="00B607C9" w:rsidRPr="00D317CB">
        <w:rPr>
          <w:rFonts w:cs="Arial"/>
          <w:sz w:val="24"/>
          <w:szCs w:val="24"/>
        </w:rPr>
        <w:t xml:space="preserve">respective staff from the Country Office </w:t>
      </w:r>
      <w:r w:rsidR="00114673" w:rsidRPr="00D317CB">
        <w:rPr>
          <w:rFonts w:cs="Arial"/>
          <w:sz w:val="24"/>
          <w:szCs w:val="24"/>
        </w:rPr>
        <w:t xml:space="preserve">dedicated a substantial part of their </w:t>
      </w:r>
      <w:r w:rsidR="00B607C9" w:rsidRPr="00D317CB">
        <w:rPr>
          <w:rFonts w:cs="Arial"/>
          <w:sz w:val="24"/>
          <w:szCs w:val="24"/>
        </w:rPr>
        <w:t xml:space="preserve">time </w:t>
      </w:r>
      <w:r w:rsidR="00114673" w:rsidRPr="00D317CB">
        <w:rPr>
          <w:rFonts w:cs="Arial"/>
          <w:sz w:val="24"/>
          <w:szCs w:val="24"/>
        </w:rPr>
        <w:t xml:space="preserve">in recruitment processes, mobilization of the new office as well as consultations with the </w:t>
      </w:r>
      <w:r w:rsidR="00B607C9" w:rsidRPr="00D317CB">
        <w:rPr>
          <w:rFonts w:cs="Arial"/>
          <w:sz w:val="24"/>
          <w:szCs w:val="24"/>
        </w:rPr>
        <w:t xml:space="preserve">Implementing </w:t>
      </w:r>
      <w:r w:rsidR="00677B4F" w:rsidRPr="00D317CB">
        <w:rPr>
          <w:rFonts w:cs="Arial"/>
          <w:sz w:val="24"/>
          <w:szCs w:val="24"/>
        </w:rPr>
        <w:t>Partner and</w:t>
      </w:r>
      <w:r w:rsidR="00114673" w:rsidRPr="00D317CB">
        <w:rPr>
          <w:rFonts w:cs="Arial"/>
          <w:sz w:val="24"/>
          <w:szCs w:val="24"/>
        </w:rPr>
        <w:t xml:space="preserve"> other stakeholders</w:t>
      </w:r>
      <w:r w:rsidR="00B607C9" w:rsidRPr="00D317CB">
        <w:rPr>
          <w:rFonts w:cs="Arial"/>
          <w:sz w:val="24"/>
          <w:szCs w:val="24"/>
        </w:rPr>
        <w:t>.</w:t>
      </w:r>
      <w:r w:rsidR="00114673" w:rsidRPr="00D317CB">
        <w:rPr>
          <w:rFonts w:cs="Arial"/>
          <w:sz w:val="24"/>
          <w:szCs w:val="24"/>
        </w:rPr>
        <w:t xml:space="preserve"> </w:t>
      </w:r>
      <w:r w:rsidR="00677B4F" w:rsidRPr="00D317CB">
        <w:rPr>
          <w:rFonts w:cs="Arial"/>
          <w:sz w:val="24"/>
          <w:szCs w:val="24"/>
        </w:rPr>
        <w:t>By the end of the year office</w:t>
      </w:r>
      <w:r w:rsidR="00DC3443" w:rsidRPr="00D317CB">
        <w:rPr>
          <w:rFonts w:cs="Arial"/>
          <w:sz w:val="24"/>
          <w:szCs w:val="24"/>
        </w:rPr>
        <w:t xml:space="preserve"> space, furniture, equipment including computers and project vehicle </w:t>
      </w:r>
      <w:r w:rsidR="00677B4F" w:rsidRPr="00D317CB">
        <w:rPr>
          <w:rFonts w:cs="Arial"/>
          <w:sz w:val="24"/>
          <w:szCs w:val="24"/>
        </w:rPr>
        <w:t>were successfully mobilized.</w:t>
      </w:r>
      <w:r w:rsidR="00DC3443" w:rsidRPr="00D317CB">
        <w:rPr>
          <w:rFonts w:cs="Arial"/>
          <w:sz w:val="24"/>
          <w:szCs w:val="24"/>
        </w:rPr>
        <w:t xml:space="preserve"> Communication facilities are </w:t>
      </w:r>
      <w:r w:rsidR="00677B4F" w:rsidRPr="00D317CB">
        <w:rPr>
          <w:rFonts w:cs="Arial"/>
          <w:sz w:val="24"/>
          <w:szCs w:val="24"/>
        </w:rPr>
        <w:t xml:space="preserve">also </w:t>
      </w:r>
      <w:r w:rsidR="00DC3443" w:rsidRPr="00D317CB">
        <w:rPr>
          <w:rFonts w:cs="Arial"/>
          <w:sz w:val="24"/>
          <w:szCs w:val="24"/>
        </w:rPr>
        <w:t xml:space="preserve">available and operational. </w:t>
      </w:r>
    </w:p>
    <w:p w:rsidR="007724E0" w:rsidRPr="00D317CB" w:rsidRDefault="007724E0" w:rsidP="006423B2">
      <w:pPr>
        <w:jc w:val="both"/>
        <w:rPr>
          <w:rFonts w:cs="Arial"/>
          <w:sz w:val="24"/>
          <w:szCs w:val="24"/>
        </w:rPr>
      </w:pPr>
      <w:r w:rsidRPr="00D317CB">
        <w:rPr>
          <w:rFonts w:cs="Arial"/>
          <w:sz w:val="24"/>
          <w:szCs w:val="24"/>
        </w:rPr>
        <w:t xml:space="preserve">The first year (2010) of the project focus has not registered the required progress in accordance with the work plan. Activity results leading to realization of project outputs have not been accomplished. </w:t>
      </w:r>
      <w:r w:rsidR="00704C9D" w:rsidRPr="00D317CB">
        <w:rPr>
          <w:rFonts w:cs="Arial"/>
          <w:sz w:val="24"/>
          <w:szCs w:val="24"/>
        </w:rPr>
        <w:t>Some progress was recorded in the mobilization of resources and capacity building in output one, activities in output two leading to the preparation of the solar and wind atlases and establishment of an Environmental Health laboratory</w:t>
      </w:r>
      <w:r w:rsidR="00F23953" w:rsidRPr="00D317CB">
        <w:rPr>
          <w:rFonts w:cs="Arial"/>
          <w:sz w:val="24"/>
          <w:szCs w:val="24"/>
        </w:rPr>
        <w:t xml:space="preserve"> and identification of pilot projects</w:t>
      </w:r>
      <w:r w:rsidR="00704C9D" w:rsidRPr="00D317CB">
        <w:rPr>
          <w:rFonts w:cs="Arial"/>
          <w:sz w:val="24"/>
          <w:szCs w:val="24"/>
        </w:rPr>
        <w:t>, as well as knowledge management issues in output four.</w:t>
      </w:r>
    </w:p>
    <w:p w:rsidR="007B4E8F" w:rsidRPr="00D317CB" w:rsidRDefault="00854C75" w:rsidP="006423B2">
      <w:pPr>
        <w:jc w:val="both"/>
        <w:rPr>
          <w:rFonts w:cs="Arial"/>
          <w:sz w:val="24"/>
          <w:szCs w:val="24"/>
        </w:rPr>
      </w:pPr>
      <w:r w:rsidRPr="00D317CB">
        <w:rPr>
          <w:rFonts w:cs="Arial"/>
          <w:sz w:val="24"/>
          <w:szCs w:val="24"/>
        </w:rPr>
        <w:t>Twenty-six</w:t>
      </w:r>
      <w:r w:rsidR="009E67A6" w:rsidRPr="00D317CB">
        <w:rPr>
          <w:rFonts w:cs="Arial"/>
          <w:sz w:val="24"/>
          <w:szCs w:val="24"/>
        </w:rPr>
        <w:t xml:space="preserve"> Solar Systems Installers received a practical training course one week offered by the Bethel Business Community Development Centre.  The project staff contributed in the design of the course which was primarily hands </w:t>
      </w:r>
      <w:r w:rsidR="00F36D20" w:rsidRPr="00D317CB">
        <w:rPr>
          <w:rFonts w:cs="Arial"/>
          <w:sz w:val="24"/>
          <w:szCs w:val="24"/>
        </w:rPr>
        <w:t>on solar</w:t>
      </w:r>
      <w:r w:rsidR="009E67A6" w:rsidRPr="00D317CB">
        <w:rPr>
          <w:rFonts w:cs="Arial"/>
          <w:sz w:val="24"/>
          <w:szCs w:val="24"/>
        </w:rPr>
        <w:t xml:space="preserve"> electricity systems installations.  The AAP Project has received </w:t>
      </w:r>
      <w:r w:rsidR="00D4348F" w:rsidRPr="00D317CB">
        <w:rPr>
          <w:rFonts w:cs="Arial"/>
          <w:sz w:val="24"/>
          <w:szCs w:val="24"/>
        </w:rPr>
        <w:t>logistics</w:t>
      </w:r>
      <w:r w:rsidR="009E67A6" w:rsidRPr="00D317CB">
        <w:rPr>
          <w:rFonts w:cs="Arial"/>
          <w:sz w:val="24"/>
          <w:szCs w:val="24"/>
        </w:rPr>
        <w:t xml:space="preserve"> support from the Lesotho Renewable Energy Based Rural Electrification in Lesotho.</w:t>
      </w:r>
    </w:p>
    <w:p w:rsidR="00114673" w:rsidRDefault="00DC3443" w:rsidP="00DC3443">
      <w:pPr>
        <w:pStyle w:val="BodyText2"/>
        <w:rPr>
          <w:rFonts w:asciiTheme="minorHAnsi" w:hAnsiTheme="minorHAnsi"/>
          <w:color w:val="auto"/>
          <w:szCs w:val="24"/>
        </w:rPr>
      </w:pPr>
      <w:r w:rsidRPr="00D317CB">
        <w:rPr>
          <w:rFonts w:asciiTheme="minorHAnsi" w:hAnsiTheme="minorHAnsi"/>
          <w:color w:val="auto"/>
          <w:szCs w:val="24"/>
        </w:rPr>
        <w:t xml:space="preserve">Below is matrix </w:t>
      </w:r>
      <w:r w:rsidR="007B4E8F" w:rsidRPr="00D317CB">
        <w:rPr>
          <w:rFonts w:asciiTheme="minorHAnsi" w:hAnsiTheme="minorHAnsi"/>
          <w:color w:val="auto"/>
          <w:szCs w:val="24"/>
        </w:rPr>
        <w:t>detailing</w:t>
      </w:r>
      <w:r w:rsidRPr="00D317CB">
        <w:rPr>
          <w:rFonts w:asciiTheme="minorHAnsi" w:hAnsiTheme="minorHAnsi"/>
          <w:color w:val="auto"/>
          <w:szCs w:val="24"/>
        </w:rPr>
        <w:t xml:space="preserve"> the </w:t>
      </w:r>
      <w:r w:rsidR="007B4E8F" w:rsidRPr="00D317CB">
        <w:rPr>
          <w:rFonts w:asciiTheme="minorHAnsi" w:hAnsiTheme="minorHAnsi"/>
          <w:color w:val="auto"/>
          <w:szCs w:val="24"/>
        </w:rPr>
        <w:t>main activities</w:t>
      </w:r>
      <w:r w:rsidRPr="00D317CB">
        <w:rPr>
          <w:rFonts w:asciiTheme="minorHAnsi" w:hAnsiTheme="minorHAnsi"/>
          <w:color w:val="auto"/>
          <w:szCs w:val="24"/>
        </w:rPr>
        <w:t xml:space="preserve"> and </w:t>
      </w:r>
      <w:proofErr w:type="gramStart"/>
      <w:r w:rsidR="00F87188" w:rsidRPr="00D317CB">
        <w:rPr>
          <w:rFonts w:asciiTheme="minorHAnsi" w:hAnsiTheme="minorHAnsi"/>
          <w:color w:val="auto"/>
          <w:szCs w:val="24"/>
        </w:rPr>
        <w:t>achievements</w:t>
      </w:r>
      <w:proofErr w:type="gramEnd"/>
      <w:r w:rsidRPr="00D317CB">
        <w:rPr>
          <w:rFonts w:asciiTheme="minorHAnsi" w:hAnsiTheme="minorHAnsi"/>
          <w:color w:val="auto"/>
          <w:szCs w:val="24"/>
        </w:rPr>
        <w:t xml:space="preserve"> </w:t>
      </w:r>
    </w:p>
    <w:p w:rsidR="00D317CB" w:rsidRPr="00D317CB" w:rsidRDefault="00D317CB" w:rsidP="00DC3443">
      <w:pPr>
        <w:pStyle w:val="BodyText2"/>
        <w:rPr>
          <w:rFonts w:asciiTheme="minorHAnsi" w:hAnsiTheme="minorHAnsi"/>
          <w:color w:val="auto"/>
          <w:szCs w:val="24"/>
        </w:rPr>
      </w:pPr>
    </w:p>
    <w:p w:rsidR="00114673" w:rsidRPr="00D317CB" w:rsidRDefault="00114673" w:rsidP="00114673">
      <w:pPr>
        <w:pStyle w:val="BodyText2"/>
        <w:rPr>
          <w:rFonts w:asciiTheme="minorHAnsi" w:hAnsiTheme="minorHAnsi"/>
          <w:color w:val="auto"/>
          <w:szCs w:val="24"/>
        </w:rPr>
      </w:pPr>
    </w:p>
    <w:p w:rsidR="00114673" w:rsidRPr="00D317CB" w:rsidRDefault="00114673" w:rsidP="00114673">
      <w:pPr>
        <w:pStyle w:val="BodyText2"/>
        <w:ind w:left="720"/>
        <w:rPr>
          <w:rFonts w:asciiTheme="minorHAnsi" w:hAnsiTheme="minorHAnsi"/>
          <w:szCs w:val="24"/>
        </w:rPr>
      </w:pPr>
    </w:p>
    <w:tbl>
      <w:tblPr>
        <w:tblW w:w="99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0"/>
        <w:gridCol w:w="3780"/>
        <w:gridCol w:w="3060"/>
      </w:tblGrid>
      <w:tr w:rsidR="007B4E8F" w:rsidRPr="00D317CB" w:rsidTr="007B4E8F">
        <w:tc>
          <w:tcPr>
            <w:tcW w:w="3150" w:type="dxa"/>
            <w:tcBorders>
              <w:top w:val="single" w:sz="4" w:space="0" w:color="auto"/>
              <w:left w:val="single" w:sz="4" w:space="0" w:color="auto"/>
              <w:bottom w:val="single" w:sz="4" w:space="0" w:color="auto"/>
              <w:right w:val="single" w:sz="4" w:space="0" w:color="auto"/>
            </w:tcBorders>
          </w:tcPr>
          <w:p w:rsidR="007B4E8F" w:rsidRPr="00D317CB" w:rsidRDefault="007B4E8F" w:rsidP="00517FF4">
            <w:pPr>
              <w:spacing w:line="360" w:lineRule="auto"/>
              <w:jc w:val="center"/>
              <w:rPr>
                <w:b/>
                <w:sz w:val="24"/>
                <w:szCs w:val="24"/>
              </w:rPr>
            </w:pPr>
            <w:r w:rsidRPr="00D317CB">
              <w:rPr>
                <w:b/>
                <w:sz w:val="24"/>
                <w:szCs w:val="24"/>
              </w:rPr>
              <w:lastRenderedPageBreak/>
              <w:t>Project Outputs</w:t>
            </w:r>
          </w:p>
        </w:tc>
        <w:tc>
          <w:tcPr>
            <w:tcW w:w="3780" w:type="dxa"/>
            <w:tcBorders>
              <w:top w:val="single" w:sz="4" w:space="0" w:color="auto"/>
              <w:left w:val="single" w:sz="4" w:space="0" w:color="auto"/>
              <w:bottom w:val="single" w:sz="4" w:space="0" w:color="auto"/>
              <w:right w:val="single" w:sz="4" w:space="0" w:color="auto"/>
            </w:tcBorders>
          </w:tcPr>
          <w:p w:rsidR="007B4E8F" w:rsidRPr="00D317CB" w:rsidRDefault="007B4E8F" w:rsidP="00517FF4">
            <w:pPr>
              <w:spacing w:line="360" w:lineRule="auto"/>
              <w:jc w:val="center"/>
              <w:rPr>
                <w:b/>
                <w:sz w:val="24"/>
                <w:szCs w:val="24"/>
              </w:rPr>
            </w:pPr>
            <w:r w:rsidRPr="00D317CB">
              <w:rPr>
                <w:b/>
                <w:sz w:val="24"/>
                <w:szCs w:val="24"/>
              </w:rPr>
              <w:t>Planned Activities</w:t>
            </w:r>
          </w:p>
        </w:tc>
        <w:tc>
          <w:tcPr>
            <w:tcW w:w="3060" w:type="dxa"/>
            <w:tcBorders>
              <w:top w:val="single" w:sz="4" w:space="0" w:color="auto"/>
              <w:left w:val="single" w:sz="4" w:space="0" w:color="auto"/>
              <w:bottom w:val="single" w:sz="4" w:space="0" w:color="auto"/>
              <w:right w:val="single" w:sz="4" w:space="0" w:color="auto"/>
            </w:tcBorders>
          </w:tcPr>
          <w:p w:rsidR="007B4E8F" w:rsidRPr="00D317CB" w:rsidRDefault="007B4E8F" w:rsidP="00517FF4">
            <w:pPr>
              <w:spacing w:line="360" w:lineRule="auto"/>
              <w:jc w:val="center"/>
              <w:rPr>
                <w:b/>
                <w:sz w:val="24"/>
                <w:szCs w:val="24"/>
              </w:rPr>
            </w:pPr>
            <w:r w:rsidRPr="00D317CB">
              <w:rPr>
                <w:b/>
                <w:sz w:val="24"/>
                <w:szCs w:val="24"/>
              </w:rPr>
              <w:t>Achievements</w:t>
            </w:r>
          </w:p>
        </w:tc>
      </w:tr>
      <w:tr w:rsidR="007B4E8F" w:rsidRPr="00D317CB" w:rsidTr="007B4E8F">
        <w:trPr>
          <w:trHeight w:val="840"/>
        </w:trPr>
        <w:tc>
          <w:tcPr>
            <w:tcW w:w="3150" w:type="dxa"/>
            <w:vMerge w:val="restart"/>
            <w:tcBorders>
              <w:top w:val="single" w:sz="4" w:space="0" w:color="auto"/>
              <w:left w:val="single" w:sz="4" w:space="0" w:color="auto"/>
              <w:right w:val="single" w:sz="4" w:space="0" w:color="auto"/>
            </w:tcBorders>
          </w:tcPr>
          <w:p w:rsidR="007B4E8F" w:rsidRPr="00D317CB" w:rsidRDefault="007B4E8F" w:rsidP="00517FF4">
            <w:pPr>
              <w:spacing w:line="360" w:lineRule="auto"/>
              <w:jc w:val="both"/>
              <w:rPr>
                <w:b/>
                <w:sz w:val="24"/>
                <w:szCs w:val="24"/>
              </w:rPr>
            </w:pPr>
            <w:r w:rsidRPr="00D317CB">
              <w:rPr>
                <w:b/>
                <w:sz w:val="24"/>
                <w:szCs w:val="24"/>
              </w:rPr>
              <w:t>Output 1.</w:t>
            </w:r>
          </w:p>
          <w:p w:rsidR="007B4E8F" w:rsidRPr="00D317CB" w:rsidRDefault="007B4E8F" w:rsidP="00517FF4">
            <w:pPr>
              <w:rPr>
                <w:rFonts w:cs="Arial"/>
                <w:sz w:val="24"/>
                <w:szCs w:val="24"/>
              </w:rPr>
            </w:pPr>
            <w:r w:rsidRPr="00D317CB">
              <w:rPr>
                <w:rFonts w:cs="Arial"/>
                <w:sz w:val="24"/>
                <w:szCs w:val="24"/>
              </w:rPr>
              <w:t xml:space="preserve">Leadership capacities and institutional frameworks to manage climate change risks and opportunities in an integrated manner, including a </w:t>
            </w:r>
            <w:proofErr w:type="spellStart"/>
            <w:r w:rsidRPr="00D317CB">
              <w:rPr>
                <w:rFonts w:cs="Arial"/>
                <w:sz w:val="24"/>
                <w:szCs w:val="24"/>
              </w:rPr>
              <w:t>decentralised</w:t>
            </w:r>
            <w:proofErr w:type="spellEnd"/>
            <w:r w:rsidRPr="00D317CB">
              <w:rPr>
                <w:rFonts w:cs="Arial"/>
                <w:sz w:val="24"/>
                <w:szCs w:val="24"/>
              </w:rPr>
              <w:t xml:space="preserve"> approach, at the local and national levels are strengthened.</w:t>
            </w:r>
          </w:p>
          <w:p w:rsidR="007B4E8F" w:rsidRPr="00D317CB" w:rsidRDefault="007B4E8F" w:rsidP="00517FF4">
            <w:pPr>
              <w:spacing w:line="360" w:lineRule="auto"/>
              <w:jc w:val="both"/>
              <w:rPr>
                <w:sz w:val="24"/>
                <w:szCs w:val="24"/>
              </w:rPr>
            </w:pPr>
          </w:p>
        </w:tc>
        <w:tc>
          <w:tcPr>
            <w:tcW w:w="3780" w:type="dxa"/>
            <w:tcBorders>
              <w:top w:val="single" w:sz="4" w:space="0" w:color="auto"/>
              <w:left w:val="single" w:sz="4" w:space="0" w:color="auto"/>
              <w:bottom w:val="single" w:sz="4" w:space="0" w:color="auto"/>
              <w:right w:val="single" w:sz="4" w:space="0" w:color="auto"/>
            </w:tcBorders>
          </w:tcPr>
          <w:p w:rsidR="007B4E8F" w:rsidRPr="00D317CB" w:rsidRDefault="007B4E8F" w:rsidP="00517FF4">
            <w:pPr>
              <w:pStyle w:val="BodyText2"/>
              <w:rPr>
                <w:rFonts w:asciiTheme="minorHAnsi" w:hAnsiTheme="minorHAnsi"/>
                <w:color w:val="auto"/>
                <w:szCs w:val="24"/>
              </w:rPr>
            </w:pPr>
            <w:r w:rsidRPr="00D317CB">
              <w:rPr>
                <w:rFonts w:asciiTheme="minorHAnsi" w:hAnsiTheme="minorHAnsi" w:cs="Arial"/>
                <w:color w:val="000000"/>
                <w:szCs w:val="24"/>
              </w:rPr>
              <w:t>Transform the current Health and Energy Climate Change Steering Committee to constitute the dedicated support team and include other relevant stakeholders</w:t>
            </w:r>
          </w:p>
          <w:p w:rsidR="007B4E8F" w:rsidRPr="00D317CB" w:rsidRDefault="007B4E8F" w:rsidP="00517FF4">
            <w:pPr>
              <w:jc w:val="both"/>
              <w:rPr>
                <w:sz w:val="24"/>
                <w:szCs w:val="24"/>
              </w:rPr>
            </w:pPr>
          </w:p>
        </w:tc>
        <w:tc>
          <w:tcPr>
            <w:tcW w:w="3060" w:type="dxa"/>
            <w:tcBorders>
              <w:top w:val="single" w:sz="4" w:space="0" w:color="auto"/>
              <w:left w:val="single" w:sz="4" w:space="0" w:color="auto"/>
              <w:bottom w:val="single" w:sz="4" w:space="0" w:color="auto"/>
              <w:right w:val="single" w:sz="4" w:space="0" w:color="auto"/>
            </w:tcBorders>
          </w:tcPr>
          <w:p w:rsidR="007B4E8F" w:rsidRPr="00D317CB" w:rsidRDefault="007B4E8F" w:rsidP="00114673">
            <w:pPr>
              <w:pStyle w:val="ListParagraph"/>
              <w:numPr>
                <w:ilvl w:val="0"/>
                <w:numId w:val="1"/>
              </w:numPr>
              <w:jc w:val="both"/>
              <w:rPr>
                <w:rFonts w:cs="Arial"/>
                <w:sz w:val="24"/>
                <w:szCs w:val="24"/>
              </w:rPr>
            </w:pPr>
            <w:r w:rsidRPr="00D317CB">
              <w:rPr>
                <w:rFonts w:cs="Arial"/>
                <w:sz w:val="24"/>
                <w:szCs w:val="24"/>
              </w:rPr>
              <w:t xml:space="preserve">The Project Board Composition and TORs </w:t>
            </w:r>
            <w:r w:rsidR="00E07E6D" w:rsidRPr="00D317CB">
              <w:rPr>
                <w:rFonts w:cs="Arial"/>
                <w:sz w:val="24"/>
                <w:szCs w:val="24"/>
              </w:rPr>
              <w:t>were finalized</w:t>
            </w:r>
            <w:r w:rsidRPr="00D317CB">
              <w:rPr>
                <w:rFonts w:cs="Arial"/>
                <w:sz w:val="24"/>
                <w:szCs w:val="24"/>
              </w:rPr>
              <w:t xml:space="preserve"> and approved by </w:t>
            </w:r>
            <w:r w:rsidR="00E07E6D" w:rsidRPr="00D317CB">
              <w:rPr>
                <w:rFonts w:cs="Arial"/>
                <w:sz w:val="24"/>
                <w:szCs w:val="24"/>
              </w:rPr>
              <w:t>the Board</w:t>
            </w:r>
            <w:r w:rsidRPr="00D317CB">
              <w:rPr>
                <w:rFonts w:cs="Arial"/>
                <w:sz w:val="24"/>
                <w:szCs w:val="24"/>
              </w:rPr>
              <w:t xml:space="preserve"> during its first meeting in September.  TORs for other management structures of the project were drafted </w:t>
            </w:r>
          </w:p>
          <w:p w:rsidR="007B4E8F" w:rsidRPr="00D317CB" w:rsidRDefault="007B4E8F" w:rsidP="00114673">
            <w:pPr>
              <w:pStyle w:val="ListParagraph"/>
              <w:numPr>
                <w:ilvl w:val="0"/>
                <w:numId w:val="1"/>
              </w:numPr>
              <w:jc w:val="both"/>
              <w:rPr>
                <w:rFonts w:cs="Arial"/>
                <w:sz w:val="24"/>
                <w:szCs w:val="24"/>
              </w:rPr>
            </w:pPr>
            <w:r w:rsidRPr="00D317CB">
              <w:rPr>
                <w:rFonts w:cs="Arial"/>
                <w:sz w:val="24"/>
                <w:szCs w:val="24"/>
              </w:rPr>
              <w:t>The first Project Board Meeting took place in September</w:t>
            </w:r>
          </w:p>
          <w:p w:rsidR="007B4E8F" w:rsidRPr="00D317CB" w:rsidRDefault="007B4E8F" w:rsidP="00114673">
            <w:pPr>
              <w:pStyle w:val="ListParagraph"/>
              <w:numPr>
                <w:ilvl w:val="0"/>
                <w:numId w:val="4"/>
              </w:numPr>
              <w:jc w:val="both"/>
              <w:rPr>
                <w:rFonts w:cs="Arial"/>
                <w:sz w:val="24"/>
                <w:szCs w:val="24"/>
              </w:rPr>
            </w:pPr>
            <w:r w:rsidRPr="00D317CB">
              <w:rPr>
                <w:rFonts w:cs="Arial"/>
                <w:sz w:val="24"/>
                <w:szCs w:val="24"/>
              </w:rPr>
              <w:t xml:space="preserve">Coordination, via meetings, with similar projects on wind energy and solar energy was  under taken </w:t>
            </w:r>
          </w:p>
          <w:p w:rsidR="007B4E8F" w:rsidRPr="00D317CB" w:rsidRDefault="007B4E8F" w:rsidP="00114673">
            <w:pPr>
              <w:pStyle w:val="ListParagraph"/>
              <w:numPr>
                <w:ilvl w:val="0"/>
                <w:numId w:val="1"/>
              </w:numPr>
              <w:jc w:val="both"/>
              <w:rPr>
                <w:rFonts w:cs="Arial"/>
                <w:sz w:val="24"/>
                <w:szCs w:val="24"/>
              </w:rPr>
            </w:pPr>
            <w:r w:rsidRPr="00D317CB">
              <w:rPr>
                <w:rFonts w:cs="Arial"/>
                <w:sz w:val="24"/>
                <w:szCs w:val="24"/>
              </w:rPr>
              <w:t xml:space="preserve">Nature and composition of the other structures for AAP arrangements were discussed at the Board Meeting. TORs to be developed </w:t>
            </w:r>
            <w:proofErr w:type="spellStart"/>
            <w:r w:rsidRPr="00D317CB">
              <w:rPr>
                <w:rFonts w:cs="Arial"/>
                <w:sz w:val="24"/>
                <w:szCs w:val="24"/>
              </w:rPr>
              <w:t>ad</w:t>
            </w:r>
            <w:proofErr w:type="spellEnd"/>
            <w:r w:rsidRPr="00D317CB">
              <w:rPr>
                <w:rFonts w:cs="Arial"/>
                <w:sz w:val="24"/>
                <w:szCs w:val="24"/>
              </w:rPr>
              <w:t xml:space="preserve"> the</w:t>
            </w:r>
            <w:r w:rsidRPr="00D317CB">
              <w:rPr>
                <w:rFonts w:cs="Arial"/>
                <w:i/>
                <w:sz w:val="24"/>
                <w:szCs w:val="24"/>
              </w:rPr>
              <w:t xml:space="preserve"> </w:t>
            </w:r>
            <w:r w:rsidRPr="00D317CB">
              <w:rPr>
                <w:rFonts w:cs="Arial"/>
                <w:sz w:val="24"/>
                <w:szCs w:val="24"/>
              </w:rPr>
              <w:t xml:space="preserve">structures made operational </w:t>
            </w:r>
          </w:p>
          <w:p w:rsidR="007B4E8F" w:rsidRPr="00D317CB" w:rsidRDefault="007B4E8F" w:rsidP="00517FF4">
            <w:pPr>
              <w:pStyle w:val="ListParagraph"/>
              <w:jc w:val="both"/>
              <w:rPr>
                <w:rFonts w:cs="Arial"/>
                <w:sz w:val="24"/>
                <w:szCs w:val="24"/>
              </w:rPr>
            </w:pPr>
          </w:p>
          <w:p w:rsidR="007B4E8F" w:rsidRPr="00D317CB" w:rsidRDefault="007B4E8F" w:rsidP="00517FF4">
            <w:pPr>
              <w:jc w:val="both"/>
              <w:rPr>
                <w:b/>
                <w:i/>
                <w:sz w:val="24"/>
                <w:szCs w:val="24"/>
              </w:rPr>
            </w:pPr>
          </w:p>
        </w:tc>
      </w:tr>
      <w:tr w:rsidR="007B4E8F" w:rsidRPr="00D317CB" w:rsidTr="007B4E8F">
        <w:trPr>
          <w:trHeight w:val="693"/>
        </w:trPr>
        <w:tc>
          <w:tcPr>
            <w:tcW w:w="3150" w:type="dxa"/>
            <w:vMerge/>
            <w:tcBorders>
              <w:left w:val="single" w:sz="4" w:space="0" w:color="auto"/>
              <w:right w:val="single" w:sz="4" w:space="0" w:color="auto"/>
            </w:tcBorders>
            <w:vAlign w:val="center"/>
          </w:tcPr>
          <w:p w:rsidR="007B4E8F" w:rsidRPr="00D317CB" w:rsidRDefault="007B4E8F" w:rsidP="00517FF4">
            <w:pPr>
              <w:rPr>
                <w:b/>
                <w:sz w:val="24"/>
                <w:szCs w:val="24"/>
              </w:rPr>
            </w:pPr>
          </w:p>
        </w:tc>
        <w:tc>
          <w:tcPr>
            <w:tcW w:w="3780" w:type="dxa"/>
            <w:tcBorders>
              <w:top w:val="single" w:sz="4" w:space="0" w:color="auto"/>
              <w:left w:val="single" w:sz="4" w:space="0" w:color="auto"/>
              <w:bottom w:val="single" w:sz="4" w:space="0" w:color="auto"/>
              <w:right w:val="single" w:sz="4" w:space="0" w:color="auto"/>
            </w:tcBorders>
          </w:tcPr>
          <w:p w:rsidR="007B4E8F" w:rsidRPr="00D317CB" w:rsidRDefault="007B4E8F" w:rsidP="00517FF4">
            <w:pPr>
              <w:pStyle w:val="BodyText2"/>
              <w:rPr>
                <w:rFonts w:asciiTheme="minorHAnsi" w:hAnsiTheme="minorHAnsi"/>
                <w:color w:val="auto"/>
                <w:szCs w:val="24"/>
              </w:rPr>
            </w:pPr>
            <w:r w:rsidRPr="00D317CB">
              <w:rPr>
                <w:rFonts w:asciiTheme="minorHAnsi" w:hAnsiTheme="minorHAnsi" w:cs="Arial"/>
                <w:color w:val="000000"/>
                <w:szCs w:val="24"/>
              </w:rPr>
              <w:t>Assess current HECCA management needs and identify future HECCA management needs in Lesotho</w:t>
            </w:r>
            <w:r w:rsidRPr="00D317CB">
              <w:rPr>
                <w:rFonts w:asciiTheme="minorHAnsi" w:hAnsiTheme="minorHAnsi"/>
                <w:color w:val="auto"/>
                <w:szCs w:val="24"/>
              </w:rPr>
              <w:t>.</w:t>
            </w:r>
          </w:p>
          <w:p w:rsidR="007B4E8F" w:rsidRPr="00D317CB" w:rsidRDefault="007B4E8F" w:rsidP="00517FF4">
            <w:pPr>
              <w:jc w:val="both"/>
              <w:rPr>
                <w:sz w:val="24"/>
                <w:szCs w:val="24"/>
              </w:rPr>
            </w:pPr>
          </w:p>
        </w:tc>
        <w:tc>
          <w:tcPr>
            <w:tcW w:w="3060" w:type="dxa"/>
            <w:tcBorders>
              <w:top w:val="single" w:sz="4" w:space="0" w:color="auto"/>
              <w:left w:val="single" w:sz="4" w:space="0" w:color="auto"/>
              <w:right w:val="single" w:sz="4" w:space="0" w:color="auto"/>
            </w:tcBorders>
            <w:shd w:val="clear" w:color="auto" w:fill="auto"/>
          </w:tcPr>
          <w:p w:rsidR="007B4E8F" w:rsidRPr="00D317CB" w:rsidRDefault="007B4E8F" w:rsidP="00517FF4">
            <w:pPr>
              <w:spacing w:line="360" w:lineRule="auto"/>
              <w:jc w:val="both"/>
              <w:rPr>
                <w:sz w:val="24"/>
                <w:szCs w:val="24"/>
              </w:rPr>
            </w:pPr>
            <w:r w:rsidRPr="00D317CB">
              <w:rPr>
                <w:sz w:val="24"/>
                <w:szCs w:val="24"/>
              </w:rPr>
              <w:t xml:space="preserve">Draft proposal of needs assessment format has been developed. It need be </w:t>
            </w:r>
            <w:proofErr w:type="spellStart"/>
            <w:r w:rsidRPr="00D317CB">
              <w:rPr>
                <w:sz w:val="24"/>
                <w:szCs w:val="24"/>
              </w:rPr>
              <w:lastRenderedPageBreak/>
              <w:t>finalised</w:t>
            </w:r>
            <w:proofErr w:type="spellEnd"/>
            <w:r w:rsidRPr="00D317CB">
              <w:rPr>
                <w:sz w:val="24"/>
                <w:szCs w:val="24"/>
              </w:rPr>
              <w:t xml:space="preserve"> after inputs from LMS.</w:t>
            </w:r>
          </w:p>
          <w:p w:rsidR="00073FAB" w:rsidRPr="00D317CB" w:rsidRDefault="00073FAB" w:rsidP="00517FF4">
            <w:pPr>
              <w:spacing w:line="360" w:lineRule="auto"/>
              <w:jc w:val="both"/>
              <w:rPr>
                <w:b/>
                <w:i/>
                <w:sz w:val="24"/>
                <w:szCs w:val="24"/>
              </w:rPr>
            </w:pPr>
            <w:r w:rsidRPr="00D317CB">
              <w:rPr>
                <w:rFonts w:cs="Arial"/>
                <w:sz w:val="24"/>
                <w:szCs w:val="24"/>
              </w:rPr>
              <w:t>Twenty-six Solar Systems Installers received a practical training course one week offered by the Bethel Business Community Development Centre.  The project staff contributed in the design of the course which was primarily hands on solar electricity systems installations.</w:t>
            </w:r>
          </w:p>
        </w:tc>
      </w:tr>
      <w:tr w:rsidR="007B4E8F" w:rsidRPr="00D317CB" w:rsidTr="007B4E8F">
        <w:trPr>
          <w:trHeight w:val="573"/>
        </w:trPr>
        <w:tc>
          <w:tcPr>
            <w:tcW w:w="3150" w:type="dxa"/>
            <w:vMerge/>
            <w:tcBorders>
              <w:left w:val="single" w:sz="4" w:space="0" w:color="auto"/>
              <w:right w:val="single" w:sz="4" w:space="0" w:color="auto"/>
            </w:tcBorders>
            <w:vAlign w:val="center"/>
          </w:tcPr>
          <w:p w:rsidR="007B4E8F" w:rsidRPr="00D317CB" w:rsidRDefault="007B4E8F" w:rsidP="00517FF4">
            <w:pPr>
              <w:rPr>
                <w:b/>
                <w:sz w:val="24"/>
                <w:szCs w:val="24"/>
              </w:rPr>
            </w:pPr>
          </w:p>
        </w:tc>
        <w:tc>
          <w:tcPr>
            <w:tcW w:w="3780" w:type="dxa"/>
            <w:tcBorders>
              <w:top w:val="single" w:sz="4" w:space="0" w:color="auto"/>
              <w:left w:val="single" w:sz="4" w:space="0" w:color="auto"/>
              <w:bottom w:val="single" w:sz="4" w:space="0" w:color="auto"/>
              <w:right w:val="single" w:sz="4" w:space="0" w:color="auto"/>
            </w:tcBorders>
          </w:tcPr>
          <w:p w:rsidR="007B4E8F" w:rsidRPr="00D317CB" w:rsidRDefault="007B4E8F" w:rsidP="00517FF4">
            <w:pPr>
              <w:pStyle w:val="BodyText2"/>
              <w:rPr>
                <w:rFonts w:asciiTheme="minorHAnsi" w:hAnsiTheme="minorHAnsi" w:cs="Arial"/>
                <w:color w:val="000000"/>
                <w:szCs w:val="24"/>
              </w:rPr>
            </w:pPr>
            <w:r w:rsidRPr="00D317CB">
              <w:rPr>
                <w:rFonts w:asciiTheme="minorHAnsi" w:hAnsiTheme="minorHAnsi" w:cs="Arial"/>
                <w:color w:val="000000"/>
                <w:szCs w:val="24"/>
              </w:rPr>
              <w:t>Establish the new strengths-based project management team and offices</w:t>
            </w:r>
            <w:r w:rsidRPr="00D317CB">
              <w:rPr>
                <w:rFonts w:asciiTheme="minorHAnsi" w:hAnsiTheme="minorHAnsi"/>
                <w:color w:val="auto"/>
                <w:szCs w:val="24"/>
              </w:rPr>
              <w:t>.</w:t>
            </w:r>
          </w:p>
        </w:tc>
        <w:tc>
          <w:tcPr>
            <w:tcW w:w="3060" w:type="dxa"/>
            <w:tcBorders>
              <w:left w:val="single" w:sz="4" w:space="0" w:color="auto"/>
              <w:right w:val="single" w:sz="4" w:space="0" w:color="auto"/>
            </w:tcBorders>
            <w:shd w:val="clear" w:color="auto" w:fill="auto"/>
          </w:tcPr>
          <w:p w:rsidR="007B4E8F" w:rsidRPr="00D317CB" w:rsidRDefault="007B4E8F" w:rsidP="00D317CB">
            <w:pPr>
              <w:jc w:val="both"/>
              <w:rPr>
                <w:rFonts w:cs="Arial"/>
                <w:sz w:val="24"/>
                <w:szCs w:val="24"/>
              </w:rPr>
            </w:pPr>
            <w:r w:rsidRPr="00D317CB">
              <w:rPr>
                <w:rFonts w:cs="Arial"/>
                <w:sz w:val="24"/>
                <w:szCs w:val="24"/>
              </w:rPr>
              <w:t>The substantive Project Manager and Driver joined the project on August 02, 2010.</w:t>
            </w:r>
          </w:p>
          <w:p w:rsidR="007B4E8F" w:rsidRPr="00D317CB" w:rsidRDefault="007B4E8F" w:rsidP="00D317CB">
            <w:pPr>
              <w:jc w:val="both"/>
              <w:rPr>
                <w:rFonts w:cs="Arial"/>
                <w:sz w:val="24"/>
                <w:szCs w:val="24"/>
              </w:rPr>
            </w:pPr>
            <w:r w:rsidRPr="00D317CB">
              <w:rPr>
                <w:rFonts w:cs="Arial"/>
                <w:sz w:val="24"/>
                <w:szCs w:val="24"/>
              </w:rPr>
              <w:t xml:space="preserve">Office equipment was procured, new offices renovated and occupied </w:t>
            </w:r>
          </w:p>
          <w:p w:rsidR="007B4E8F" w:rsidRPr="00D317CB" w:rsidRDefault="007B4E8F" w:rsidP="00D317CB">
            <w:pPr>
              <w:jc w:val="both"/>
              <w:rPr>
                <w:b/>
                <w:i/>
                <w:sz w:val="24"/>
                <w:szCs w:val="24"/>
              </w:rPr>
            </w:pPr>
            <w:r w:rsidRPr="00D317CB">
              <w:rPr>
                <w:rFonts w:cs="Arial"/>
                <w:sz w:val="24"/>
                <w:szCs w:val="24"/>
              </w:rPr>
              <w:t>The selection process for key project and support  staff namely</w:t>
            </w:r>
            <w:r w:rsidR="00D317CB">
              <w:rPr>
                <w:rFonts w:cs="Arial"/>
                <w:sz w:val="24"/>
                <w:szCs w:val="24"/>
              </w:rPr>
              <w:t xml:space="preserve">, </w:t>
            </w:r>
            <w:r w:rsidRPr="00D317CB">
              <w:rPr>
                <w:rFonts w:cs="Arial"/>
                <w:sz w:val="24"/>
                <w:szCs w:val="24"/>
              </w:rPr>
              <w:t xml:space="preserve">Project officer, Finance and Administration Associate and Secretary was </w:t>
            </w:r>
            <w:r w:rsidR="00D317CB">
              <w:rPr>
                <w:rFonts w:cs="Arial"/>
                <w:sz w:val="24"/>
                <w:szCs w:val="24"/>
              </w:rPr>
              <w:t xml:space="preserve">completed </w:t>
            </w:r>
            <w:r w:rsidRPr="00D317CB">
              <w:rPr>
                <w:rFonts w:cs="Arial"/>
                <w:sz w:val="24"/>
                <w:szCs w:val="24"/>
              </w:rPr>
              <w:t xml:space="preserve"> </w:t>
            </w:r>
          </w:p>
        </w:tc>
      </w:tr>
      <w:tr w:rsidR="007B4E8F" w:rsidRPr="00D317CB" w:rsidTr="007B4E8F">
        <w:trPr>
          <w:trHeight w:val="572"/>
        </w:trPr>
        <w:tc>
          <w:tcPr>
            <w:tcW w:w="3150" w:type="dxa"/>
            <w:vMerge/>
            <w:tcBorders>
              <w:left w:val="single" w:sz="4" w:space="0" w:color="auto"/>
              <w:bottom w:val="single" w:sz="4" w:space="0" w:color="auto"/>
              <w:right w:val="single" w:sz="4" w:space="0" w:color="auto"/>
            </w:tcBorders>
            <w:vAlign w:val="center"/>
          </w:tcPr>
          <w:p w:rsidR="007B4E8F" w:rsidRPr="00D317CB" w:rsidRDefault="007B4E8F" w:rsidP="00517FF4">
            <w:pPr>
              <w:rPr>
                <w:b/>
                <w:sz w:val="24"/>
                <w:szCs w:val="24"/>
              </w:rPr>
            </w:pPr>
          </w:p>
        </w:tc>
        <w:tc>
          <w:tcPr>
            <w:tcW w:w="3780" w:type="dxa"/>
            <w:tcBorders>
              <w:top w:val="single" w:sz="4" w:space="0" w:color="auto"/>
              <w:left w:val="single" w:sz="4" w:space="0" w:color="auto"/>
              <w:bottom w:val="single" w:sz="4" w:space="0" w:color="auto"/>
              <w:right w:val="single" w:sz="4" w:space="0" w:color="auto"/>
            </w:tcBorders>
          </w:tcPr>
          <w:p w:rsidR="007B4E8F" w:rsidRPr="00D317CB" w:rsidRDefault="007B4E8F" w:rsidP="00517FF4">
            <w:pPr>
              <w:pStyle w:val="BodyText2"/>
              <w:rPr>
                <w:rFonts w:asciiTheme="minorHAnsi" w:hAnsiTheme="minorHAnsi"/>
                <w:color w:val="auto"/>
                <w:szCs w:val="24"/>
              </w:rPr>
            </w:pPr>
            <w:r w:rsidRPr="00D317CB">
              <w:rPr>
                <w:rFonts w:asciiTheme="minorHAnsi" w:hAnsiTheme="minorHAnsi"/>
                <w:color w:val="auto"/>
                <w:szCs w:val="24"/>
              </w:rPr>
              <w:t>Address gender aspects of women and youth in programming.</w:t>
            </w:r>
          </w:p>
          <w:p w:rsidR="007B4E8F" w:rsidRPr="00D317CB" w:rsidRDefault="007B4E8F" w:rsidP="00517FF4">
            <w:pPr>
              <w:pStyle w:val="BodyText2"/>
              <w:rPr>
                <w:rFonts w:asciiTheme="minorHAnsi" w:hAnsiTheme="minorHAnsi" w:cs="Arial"/>
                <w:color w:val="000000"/>
                <w:szCs w:val="24"/>
              </w:rPr>
            </w:pPr>
          </w:p>
        </w:tc>
        <w:tc>
          <w:tcPr>
            <w:tcW w:w="3060" w:type="dxa"/>
            <w:tcBorders>
              <w:left w:val="single" w:sz="4" w:space="0" w:color="auto"/>
              <w:bottom w:val="single" w:sz="4" w:space="0" w:color="auto"/>
              <w:right w:val="single" w:sz="4" w:space="0" w:color="auto"/>
            </w:tcBorders>
            <w:shd w:val="clear" w:color="auto" w:fill="auto"/>
          </w:tcPr>
          <w:p w:rsidR="007B4E8F" w:rsidRPr="00D317CB" w:rsidRDefault="007B4E8F" w:rsidP="00D317CB">
            <w:pPr>
              <w:jc w:val="both"/>
              <w:rPr>
                <w:sz w:val="24"/>
                <w:szCs w:val="24"/>
              </w:rPr>
            </w:pPr>
            <w:r w:rsidRPr="00D317CB">
              <w:rPr>
                <w:sz w:val="24"/>
                <w:szCs w:val="24"/>
              </w:rPr>
              <w:t>Department</w:t>
            </w:r>
            <w:r w:rsidR="00D317CB">
              <w:rPr>
                <w:sz w:val="24"/>
                <w:szCs w:val="24"/>
              </w:rPr>
              <w:t xml:space="preserve"> o</w:t>
            </w:r>
            <w:r w:rsidRPr="00D317CB">
              <w:rPr>
                <w:sz w:val="24"/>
                <w:szCs w:val="24"/>
              </w:rPr>
              <w:t xml:space="preserve">f Gender(MYGSR) developed draft proposal on empowering women and </w:t>
            </w:r>
            <w:r w:rsidRPr="00D317CB">
              <w:rPr>
                <w:sz w:val="24"/>
                <w:szCs w:val="24"/>
              </w:rPr>
              <w:lastRenderedPageBreak/>
              <w:t xml:space="preserve">youth for CCA in energy </w:t>
            </w:r>
          </w:p>
        </w:tc>
      </w:tr>
      <w:tr w:rsidR="007B4E8F" w:rsidRPr="00D317CB" w:rsidTr="007B4E8F">
        <w:trPr>
          <w:trHeight w:val="1281"/>
        </w:trPr>
        <w:tc>
          <w:tcPr>
            <w:tcW w:w="3150" w:type="dxa"/>
            <w:vMerge w:val="restart"/>
            <w:tcBorders>
              <w:top w:val="single" w:sz="4" w:space="0" w:color="auto"/>
              <w:left w:val="single" w:sz="4" w:space="0" w:color="auto"/>
              <w:right w:val="single" w:sz="4" w:space="0" w:color="auto"/>
            </w:tcBorders>
            <w:vAlign w:val="center"/>
          </w:tcPr>
          <w:p w:rsidR="007B4E8F" w:rsidRPr="00D317CB" w:rsidRDefault="00D317CB" w:rsidP="00517FF4">
            <w:pPr>
              <w:pStyle w:val="BodyText2"/>
              <w:rPr>
                <w:rFonts w:asciiTheme="minorHAnsi" w:hAnsiTheme="minorHAnsi" w:cs="Arial"/>
                <w:b/>
                <w:color w:val="000000"/>
                <w:szCs w:val="24"/>
              </w:rPr>
            </w:pPr>
            <w:r>
              <w:rPr>
                <w:rFonts w:asciiTheme="minorHAnsi" w:hAnsiTheme="minorHAnsi" w:cs="Arial"/>
                <w:b/>
                <w:color w:val="000000"/>
                <w:szCs w:val="24"/>
              </w:rPr>
              <w:lastRenderedPageBreak/>
              <w:t>Ou</w:t>
            </w:r>
            <w:r w:rsidR="007B4E8F" w:rsidRPr="00D317CB">
              <w:rPr>
                <w:rFonts w:asciiTheme="minorHAnsi" w:hAnsiTheme="minorHAnsi" w:cs="Arial"/>
                <w:b/>
                <w:color w:val="000000"/>
                <w:szCs w:val="24"/>
              </w:rPr>
              <w:t>tput 2.</w:t>
            </w:r>
          </w:p>
          <w:p w:rsidR="007B4E8F" w:rsidRPr="00D317CB" w:rsidRDefault="007B4E8F" w:rsidP="00517FF4">
            <w:pPr>
              <w:tabs>
                <w:tab w:val="left" w:pos="338"/>
              </w:tabs>
              <w:snapToGrid w:val="0"/>
              <w:spacing w:after="60"/>
              <w:jc w:val="both"/>
              <w:rPr>
                <w:rFonts w:cs="Arial"/>
                <w:sz w:val="24"/>
                <w:szCs w:val="24"/>
              </w:rPr>
            </w:pPr>
            <w:r w:rsidRPr="00D317CB">
              <w:rPr>
                <w:rFonts w:cs="Arial"/>
                <w:sz w:val="24"/>
                <w:szCs w:val="24"/>
              </w:rPr>
              <w:t>Climate-resilient policies and measures in energy and health   sectors implemented and community-based adaptation action promoted.</w:t>
            </w:r>
          </w:p>
          <w:p w:rsidR="007B4E8F" w:rsidRPr="00D317CB" w:rsidRDefault="007B4E8F" w:rsidP="00517FF4">
            <w:pPr>
              <w:pStyle w:val="BodyText2"/>
              <w:rPr>
                <w:rFonts w:asciiTheme="minorHAnsi" w:hAnsiTheme="minorHAnsi"/>
                <w:b/>
                <w:szCs w:val="24"/>
              </w:rPr>
            </w:pPr>
          </w:p>
        </w:tc>
        <w:tc>
          <w:tcPr>
            <w:tcW w:w="3780" w:type="dxa"/>
            <w:tcBorders>
              <w:top w:val="single" w:sz="4" w:space="0" w:color="auto"/>
              <w:left w:val="single" w:sz="4" w:space="0" w:color="auto"/>
              <w:bottom w:val="single" w:sz="4" w:space="0" w:color="auto"/>
              <w:right w:val="single" w:sz="4" w:space="0" w:color="auto"/>
            </w:tcBorders>
          </w:tcPr>
          <w:p w:rsidR="007B4E8F" w:rsidRPr="00D317CB" w:rsidRDefault="007B4E8F" w:rsidP="00517FF4">
            <w:pPr>
              <w:pStyle w:val="BodyText2"/>
              <w:rPr>
                <w:rFonts w:asciiTheme="minorHAnsi" w:hAnsiTheme="minorHAnsi" w:cs="Arial"/>
                <w:color w:val="000000"/>
                <w:szCs w:val="24"/>
              </w:rPr>
            </w:pPr>
            <w:r w:rsidRPr="00D317CB">
              <w:rPr>
                <w:rFonts w:asciiTheme="minorHAnsi" w:hAnsiTheme="minorHAnsi" w:cs="Arial"/>
                <w:color w:val="000000"/>
                <w:szCs w:val="24"/>
              </w:rPr>
              <w:t>Establish a baseline assessment for solar thermal, wind power potential in Lesotho in order to facilitate the development of wind atlas including existing knowledge and infrastructure.</w:t>
            </w:r>
          </w:p>
          <w:p w:rsidR="007B4E8F" w:rsidRPr="00D317CB" w:rsidRDefault="007B4E8F" w:rsidP="00517FF4">
            <w:pPr>
              <w:jc w:val="both"/>
              <w:rPr>
                <w:sz w:val="24"/>
                <w:szCs w:val="24"/>
              </w:rPr>
            </w:pPr>
          </w:p>
        </w:tc>
        <w:tc>
          <w:tcPr>
            <w:tcW w:w="3060" w:type="dxa"/>
            <w:tcBorders>
              <w:top w:val="single" w:sz="4" w:space="0" w:color="auto"/>
              <w:left w:val="single" w:sz="4" w:space="0" w:color="auto"/>
              <w:bottom w:val="single" w:sz="4" w:space="0" w:color="auto"/>
              <w:right w:val="single" w:sz="4" w:space="0" w:color="auto"/>
            </w:tcBorders>
          </w:tcPr>
          <w:p w:rsidR="00A6457A" w:rsidRPr="00D317CB" w:rsidRDefault="00D531C5" w:rsidP="00A6457A">
            <w:pPr>
              <w:jc w:val="both"/>
              <w:rPr>
                <w:rFonts w:cs="Arial"/>
                <w:sz w:val="24"/>
                <w:szCs w:val="24"/>
              </w:rPr>
            </w:pPr>
            <w:r w:rsidRPr="00D317CB">
              <w:rPr>
                <w:rFonts w:cs="Arial"/>
                <w:sz w:val="24"/>
                <w:szCs w:val="24"/>
              </w:rPr>
              <w:t xml:space="preserve">The consultant’s Draft report was validated by respective experts and stakeholders. </w:t>
            </w:r>
            <w:proofErr w:type="gramStart"/>
            <w:r w:rsidRPr="00D317CB">
              <w:rPr>
                <w:rFonts w:cs="Arial"/>
                <w:sz w:val="24"/>
                <w:szCs w:val="24"/>
              </w:rPr>
              <w:t>The  final</w:t>
            </w:r>
            <w:proofErr w:type="gramEnd"/>
            <w:r w:rsidRPr="00D317CB">
              <w:rPr>
                <w:rFonts w:cs="Arial"/>
                <w:sz w:val="24"/>
                <w:szCs w:val="24"/>
              </w:rPr>
              <w:t xml:space="preserve"> report has been submitted</w:t>
            </w:r>
            <w:r w:rsidR="00A6457A" w:rsidRPr="00D317CB">
              <w:rPr>
                <w:rFonts w:cs="Arial"/>
                <w:sz w:val="24"/>
                <w:szCs w:val="24"/>
              </w:rPr>
              <w:t xml:space="preserve">. Meteorological Weather stations have been assessed for suitability of solar radiation measurements as well as for wind measurements furthermore identification of sites for the solar radiation measurements and wind measurements have been done. Solar radiation measurements sites are at </w:t>
            </w:r>
            <w:proofErr w:type="spellStart"/>
            <w:r w:rsidR="00A6457A" w:rsidRPr="00D317CB">
              <w:rPr>
                <w:rFonts w:cs="Arial"/>
                <w:sz w:val="24"/>
                <w:szCs w:val="24"/>
              </w:rPr>
              <w:t>Mohales</w:t>
            </w:r>
            <w:proofErr w:type="spellEnd"/>
            <w:r w:rsidR="00A6457A" w:rsidRPr="00D317CB">
              <w:rPr>
                <w:rFonts w:cs="Arial"/>
                <w:sz w:val="24"/>
                <w:szCs w:val="24"/>
              </w:rPr>
              <w:t xml:space="preserve">’ </w:t>
            </w:r>
            <w:proofErr w:type="spellStart"/>
            <w:r w:rsidR="00A6457A" w:rsidRPr="00D317CB">
              <w:rPr>
                <w:rFonts w:cs="Arial"/>
                <w:sz w:val="24"/>
                <w:szCs w:val="24"/>
              </w:rPr>
              <w:t>Hoek</w:t>
            </w:r>
            <w:proofErr w:type="spellEnd"/>
            <w:r w:rsidR="00A6457A" w:rsidRPr="00D317CB">
              <w:rPr>
                <w:rFonts w:cs="Arial"/>
                <w:sz w:val="24"/>
                <w:szCs w:val="24"/>
              </w:rPr>
              <w:t xml:space="preserve">, </w:t>
            </w:r>
            <w:proofErr w:type="spellStart"/>
            <w:r w:rsidR="00A6457A" w:rsidRPr="00D317CB">
              <w:rPr>
                <w:rFonts w:cs="Arial"/>
                <w:sz w:val="24"/>
                <w:szCs w:val="24"/>
              </w:rPr>
              <w:t>ThabaTseka</w:t>
            </w:r>
            <w:proofErr w:type="spellEnd"/>
            <w:r w:rsidR="00A6457A" w:rsidRPr="00D317CB">
              <w:rPr>
                <w:rFonts w:cs="Arial"/>
                <w:sz w:val="24"/>
                <w:szCs w:val="24"/>
              </w:rPr>
              <w:t xml:space="preserve">, </w:t>
            </w:r>
            <w:proofErr w:type="spellStart"/>
            <w:r w:rsidR="00A6457A" w:rsidRPr="00D317CB">
              <w:rPr>
                <w:rFonts w:cs="Arial"/>
                <w:sz w:val="24"/>
                <w:szCs w:val="24"/>
              </w:rPr>
              <w:t>Qachas’Nek</w:t>
            </w:r>
            <w:proofErr w:type="spellEnd"/>
            <w:r w:rsidR="00A6457A" w:rsidRPr="00D317CB">
              <w:rPr>
                <w:rFonts w:cs="Arial"/>
                <w:sz w:val="24"/>
                <w:szCs w:val="24"/>
              </w:rPr>
              <w:t xml:space="preserve">, </w:t>
            </w:r>
            <w:proofErr w:type="spellStart"/>
            <w:r w:rsidR="00A6457A" w:rsidRPr="00D317CB">
              <w:rPr>
                <w:rFonts w:cs="Arial"/>
                <w:sz w:val="24"/>
                <w:szCs w:val="24"/>
              </w:rPr>
              <w:t>Mazenod</w:t>
            </w:r>
            <w:proofErr w:type="spellEnd"/>
            <w:r w:rsidR="00A6457A" w:rsidRPr="00D317CB">
              <w:rPr>
                <w:rFonts w:cs="Arial"/>
                <w:sz w:val="24"/>
                <w:szCs w:val="24"/>
              </w:rPr>
              <w:t xml:space="preserve"> (airport) and Oxbow while measurements while wind measurements sites are at </w:t>
            </w:r>
            <w:proofErr w:type="spellStart"/>
            <w:r w:rsidR="00A6457A" w:rsidRPr="00D317CB">
              <w:rPr>
                <w:rFonts w:cs="Arial"/>
                <w:sz w:val="24"/>
                <w:szCs w:val="24"/>
              </w:rPr>
              <w:t>Qachas’Nek</w:t>
            </w:r>
            <w:proofErr w:type="spellEnd"/>
            <w:r w:rsidR="00A6457A" w:rsidRPr="00D317CB">
              <w:rPr>
                <w:rFonts w:cs="Arial"/>
                <w:sz w:val="24"/>
                <w:szCs w:val="24"/>
              </w:rPr>
              <w:t xml:space="preserve">, </w:t>
            </w:r>
            <w:proofErr w:type="spellStart"/>
            <w:r w:rsidR="00A6457A" w:rsidRPr="00D317CB">
              <w:rPr>
                <w:rFonts w:cs="Arial"/>
                <w:sz w:val="24"/>
                <w:szCs w:val="24"/>
              </w:rPr>
              <w:t>Semongkong</w:t>
            </w:r>
            <w:proofErr w:type="spellEnd"/>
            <w:r w:rsidR="00A6457A" w:rsidRPr="00D317CB">
              <w:rPr>
                <w:rFonts w:cs="Arial"/>
                <w:sz w:val="24"/>
                <w:szCs w:val="24"/>
              </w:rPr>
              <w:t>, Oxbow</w:t>
            </w:r>
          </w:p>
          <w:p w:rsidR="007B4E8F" w:rsidRPr="00D317CB" w:rsidRDefault="00D531C5" w:rsidP="00517FF4">
            <w:pPr>
              <w:pStyle w:val="ListParagraph"/>
              <w:ind w:left="0"/>
              <w:jc w:val="both"/>
              <w:rPr>
                <w:rFonts w:cs="Arial"/>
                <w:sz w:val="24"/>
                <w:szCs w:val="24"/>
              </w:rPr>
            </w:pPr>
            <w:r w:rsidRPr="00D317CB">
              <w:rPr>
                <w:rFonts w:cs="Arial"/>
                <w:sz w:val="24"/>
                <w:szCs w:val="24"/>
              </w:rPr>
              <w:t xml:space="preserve"> </w:t>
            </w:r>
            <w:r w:rsidR="007B4E8F" w:rsidRPr="00D317CB">
              <w:rPr>
                <w:rFonts w:cs="Arial"/>
                <w:sz w:val="24"/>
                <w:szCs w:val="24"/>
              </w:rPr>
              <w:t xml:space="preserve">Continuous discussions with the Physics and Electronics Department of the National University for the introduction of the science degree </w:t>
            </w:r>
            <w:proofErr w:type="spellStart"/>
            <w:r w:rsidR="007B4E8F" w:rsidRPr="00D317CB">
              <w:rPr>
                <w:rFonts w:cs="Arial"/>
                <w:sz w:val="24"/>
                <w:szCs w:val="24"/>
              </w:rPr>
              <w:t>programme</w:t>
            </w:r>
            <w:proofErr w:type="spellEnd"/>
            <w:r w:rsidR="007B4E8F" w:rsidRPr="00D317CB">
              <w:rPr>
                <w:rFonts w:cs="Arial"/>
                <w:sz w:val="24"/>
                <w:szCs w:val="24"/>
              </w:rPr>
              <w:t xml:space="preserve"> on renewable energy and establishment of the Renewable Energy Research Centre.</w:t>
            </w:r>
          </w:p>
          <w:p w:rsidR="007B4E8F" w:rsidRPr="00D317CB" w:rsidRDefault="007B4E8F" w:rsidP="00517FF4">
            <w:pPr>
              <w:spacing w:line="360" w:lineRule="auto"/>
              <w:jc w:val="both"/>
              <w:rPr>
                <w:sz w:val="24"/>
                <w:szCs w:val="24"/>
              </w:rPr>
            </w:pPr>
          </w:p>
        </w:tc>
      </w:tr>
      <w:tr w:rsidR="007B4E8F" w:rsidRPr="00D317CB" w:rsidTr="007B4E8F">
        <w:trPr>
          <w:trHeight w:val="637"/>
        </w:trPr>
        <w:tc>
          <w:tcPr>
            <w:tcW w:w="3150" w:type="dxa"/>
            <w:vMerge/>
            <w:tcBorders>
              <w:left w:val="single" w:sz="4" w:space="0" w:color="auto"/>
              <w:right w:val="single" w:sz="4" w:space="0" w:color="auto"/>
            </w:tcBorders>
            <w:vAlign w:val="center"/>
          </w:tcPr>
          <w:p w:rsidR="007B4E8F" w:rsidRPr="00D317CB" w:rsidRDefault="007B4E8F" w:rsidP="00517FF4">
            <w:pPr>
              <w:rPr>
                <w:b/>
                <w:sz w:val="24"/>
                <w:szCs w:val="24"/>
              </w:rPr>
            </w:pPr>
          </w:p>
        </w:tc>
        <w:tc>
          <w:tcPr>
            <w:tcW w:w="3780" w:type="dxa"/>
            <w:tcBorders>
              <w:top w:val="single" w:sz="4" w:space="0" w:color="auto"/>
              <w:left w:val="single" w:sz="4" w:space="0" w:color="auto"/>
              <w:bottom w:val="single" w:sz="4" w:space="0" w:color="auto"/>
              <w:right w:val="single" w:sz="4" w:space="0" w:color="auto"/>
            </w:tcBorders>
            <w:vAlign w:val="center"/>
          </w:tcPr>
          <w:p w:rsidR="007B4E8F" w:rsidRPr="00D317CB" w:rsidRDefault="007B4E8F" w:rsidP="00517FF4">
            <w:pPr>
              <w:pStyle w:val="BodyText2"/>
              <w:rPr>
                <w:rFonts w:asciiTheme="minorHAnsi" w:hAnsiTheme="minorHAnsi"/>
                <w:color w:val="auto"/>
                <w:szCs w:val="24"/>
              </w:rPr>
            </w:pPr>
            <w:r w:rsidRPr="00D317CB">
              <w:rPr>
                <w:rFonts w:asciiTheme="minorHAnsi" w:hAnsiTheme="minorHAnsi" w:cs="Arial"/>
                <w:color w:val="000000"/>
                <w:szCs w:val="24"/>
              </w:rPr>
              <w:t>Provide baseline on climate change and human health relationships including existing knowledge and infrastructure.</w:t>
            </w:r>
          </w:p>
          <w:p w:rsidR="007B4E8F" w:rsidRPr="00D317CB" w:rsidRDefault="007B4E8F" w:rsidP="00517FF4">
            <w:pPr>
              <w:rPr>
                <w:sz w:val="24"/>
                <w:szCs w:val="24"/>
              </w:rPr>
            </w:pPr>
          </w:p>
        </w:tc>
        <w:tc>
          <w:tcPr>
            <w:tcW w:w="3060" w:type="dxa"/>
            <w:tcBorders>
              <w:top w:val="single" w:sz="4" w:space="0" w:color="auto"/>
              <w:left w:val="single" w:sz="4" w:space="0" w:color="auto"/>
              <w:right w:val="single" w:sz="4" w:space="0" w:color="auto"/>
            </w:tcBorders>
            <w:shd w:val="clear" w:color="auto" w:fill="auto"/>
          </w:tcPr>
          <w:p w:rsidR="007B4E8F" w:rsidRPr="00D317CB" w:rsidRDefault="007B4E8F" w:rsidP="00517FF4">
            <w:pPr>
              <w:jc w:val="both"/>
              <w:rPr>
                <w:sz w:val="24"/>
                <w:szCs w:val="24"/>
              </w:rPr>
            </w:pPr>
            <w:r w:rsidRPr="00D317CB">
              <w:rPr>
                <w:sz w:val="24"/>
                <w:szCs w:val="24"/>
              </w:rPr>
              <w:t xml:space="preserve">Draft report had been submitted, but there are issues regarding its quality and comprehensiveness which are being addressed with the consultant </w:t>
            </w:r>
          </w:p>
          <w:p w:rsidR="007B4E8F" w:rsidRPr="00D317CB" w:rsidRDefault="007B4E8F" w:rsidP="00517FF4">
            <w:pPr>
              <w:spacing w:line="360" w:lineRule="auto"/>
              <w:jc w:val="both"/>
              <w:rPr>
                <w:sz w:val="24"/>
                <w:szCs w:val="24"/>
              </w:rPr>
            </w:pPr>
          </w:p>
        </w:tc>
      </w:tr>
      <w:tr w:rsidR="007B4E8F" w:rsidRPr="00D317CB" w:rsidTr="007B4E8F">
        <w:trPr>
          <w:trHeight w:val="342"/>
        </w:trPr>
        <w:tc>
          <w:tcPr>
            <w:tcW w:w="3150" w:type="dxa"/>
            <w:vMerge/>
            <w:tcBorders>
              <w:left w:val="single" w:sz="4" w:space="0" w:color="auto"/>
              <w:right w:val="single" w:sz="4" w:space="0" w:color="auto"/>
            </w:tcBorders>
            <w:vAlign w:val="center"/>
          </w:tcPr>
          <w:p w:rsidR="007B4E8F" w:rsidRPr="00D317CB" w:rsidRDefault="007B4E8F" w:rsidP="00517FF4">
            <w:pPr>
              <w:rPr>
                <w:b/>
                <w:sz w:val="24"/>
                <w:szCs w:val="24"/>
              </w:rPr>
            </w:pPr>
          </w:p>
        </w:tc>
        <w:tc>
          <w:tcPr>
            <w:tcW w:w="3780" w:type="dxa"/>
            <w:tcBorders>
              <w:top w:val="single" w:sz="4" w:space="0" w:color="auto"/>
              <w:left w:val="single" w:sz="4" w:space="0" w:color="auto"/>
              <w:bottom w:val="single" w:sz="4" w:space="0" w:color="auto"/>
              <w:right w:val="single" w:sz="4" w:space="0" w:color="auto"/>
            </w:tcBorders>
            <w:vAlign w:val="center"/>
          </w:tcPr>
          <w:p w:rsidR="007B4E8F" w:rsidRPr="00D317CB" w:rsidRDefault="007B4E8F" w:rsidP="00517FF4">
            <w:pPr>
              <w:pStyle w:val="BodyText2"/>
              <w:rPr>
                <w:rFonts w:asciiTheme="minorHAnsi" w:hAnsiTheme="minorHAnsi"/>
                <w:color w:val="auto"/>
                <w:szCs w:val="24"/>
              </w:rPr>
            </w:pPr>
            <w:r w:rsidRPr="00D317CB">
              <w:rPr>
                <w:rFonts w:asciiTheme="minorHAnsi" w:hAnsiTheme="minorHAnsi" w:cs="Arial"/>
                <w:color w:val="000000"/>
                <w:szCs w:val="24"/>
              </w:rPr>
              <w:t>Develop a CBA pilot project alongside the domestic hygiene status monitoring.</w:t>
            </w:r>
          </w:p>
          <w:p w:rsidR="007B4E8F" w:rsidRPr="00D317CB" w:rsidRDefault="007B4E8F" w:rsidP="00517FF4">
            <w:pPr>
              <w:pStyle w:val="BodyText2"/>
              <w:rPr>
                <w:rFonts w:asciiTheme="minorHAnsi" w:hAnsiTheme="minorHAnsi" w:cs="Arial"/>
                <w:color w:val="000000"/>
                <w:szCs w:val="24"/>
              </w:rPr>
            </w:pPr>
          </w:p>
        </w:tc>
        <w:tc>
          <w:tcPr>
            <w:tcW w:w="3060" w:type="dxa"/>
            <w:tcBorders>
              <w:left w:val="single" w:sz="4" w:space="0" w:color="auto"/>
              <w:right w:val="single" w:sz="4" w:space="0" w:color="auto"/>
            </w:tcBorders>
            <w:shd w:val="clear" w:color="auto" w:fill="auto"/>
          </w:tcPr>
          <w:p w:rsidR="007B4E8F" w:rsidRPr="00D317CB" w:rsidRDefault="007B4E8F" w:rsidP="00517FF4">
            <w:pPr>
              <w:jc w:val="both"/>
              <w:rPr>
                <w:sz w:val="24"/>
                <w:szCs w:val="24"/>
              </w:rPr>
            </w:pPr>
            <w:r w:rsidRPr="00D317CB">
              <w:rPr>
                <w:sz w:val="24"/>
                <w:szCs w:val="24"/>
              </w:rPr>
              <w:t xml:space="preserve">Community </w:t>
            </w:r>
            <w:proofErr w:type="spellStart"/>
            <w:r w:rsidRPr="00D317CB">
              <w:rPr>
                <w:sz w:val="24"/>
                <w:szCs w:val="24"/>
              </w:rPr>
              <w:t>mobilisation</w:t>
            </w:r>
            <w:proofErr w:type="spellEnd"/>
            <w:r w:rsidRPr="00D317CB">
              <w:rPr>
                <w:sz w:val="24"/>
                <w:szCs w:val="24"/>
              </w:rPr>
              <w:t xml:space="preserve"> covering 4 districts is 75%  complete</w:t>
            </w:r>
          </w:p>
        </w:tc>
      </w:tr>
      <w:tr w:rsidR="007B4E8F" w:rsidRPr="00D317CB" w:rsidTr="007B4E8F">
        <w:trPr>
          <w:trHeight w:val="341"/>
        </w:trPr>
        <w:tc>
          <w:tcPr>
            <w:tcW w:w="3150" w:type="dxa"/>
            <w:vMerge/>
            <w:tcBorders>
              <w:left w:val="single" w:sz="4" w:space="0" w:color="auto"/>
              <w:right w:val="single" w:sz="4" w:space="0" w:color="auto"/>
            </w:tcBorders>
            <w:vAlign w:val="center"/>
          </w:tcPr>
          <w:p w:rsidR="007B4E8F" w:rsidRPr="00D317CB" w:rsidRDefault="007B4E8F" w:rsidP="00517FF4">
            <w:pPr>
              <w:rPr>
                <w:b/>
                <w:sz w:val="24"/>
                <w:szCs w:val="24"/>
              </w:rPr>
            </w:pPr>
          </w:p>
        </w:tc>
        <w:tc>
          <w:tcPr>
            <w:tcW w:w="3780" w:type="dxa"/>
            <w:tcBorders>
              <w:top w:val="single" w:sz="4" w:space="0" w:color="auto"/>
              <w:left w:val="single" w:sz="4" w:space="0" w:color="auto"/>
              <w:bottom w:val="single" w:sz="4" w:space="0" w:color="auto"/>
              <w:right w:val="single" w:sz="4" w:space="0" w:color="auto"/>
            </w:tcBorders>
            <w:vAlign w:val="center"/>
          </w:tcPr>
          <w:p w:rsidR="007B4E8F" w:rsidRPr="00D317CB" w:rsidRDefault="007B4E8F" w:rsidP="00517FF4">
            <w:pPr>
              <w:tabs>
                <w:tab w:val="left" w:pos="360"/>
              </w:tabs>
              <w:rPr>
                <w:rFonts w:cs="Arial"/>
                <w:sz w:val="24"/>
                <w:szCs w:val="24"/>
              </w:rPr>
            </w:pPr>
            <w:r w:rsidRPr="00D317CB">
              <w:rPr>
                <w:rFonts w:cs="Arial"/>
                <w:sz w:val="24"/>
                <w:szCs w:val="24"/>
              </w:rPr>
              <w:t xml:space="preserve">Support development of appropriate policies and legislation framework to address bottlenecks related to land leasing and licensing for private investors in energy development. Specifically, this is the kind of output where </w:t>
            </w:r>
            <w:proofErr w:type="spellStart"/>
            <w:r w:rsidRPr="00D317CB">
              <w:rPr>
                <w:rFonts w:cs="Arial"/>
                <w:sz w:val="24"/>
                <w:szCs w:val="24"/>
              </w:rPr>
              <w:t>focussed</w:t>
            </w:r>
            <w:proofErr w:type="spellEnd"/>
            <w:r w:rsidRPr="00D317CB">
              <w:rPr>
                <w:rFonts w:cs="Arial"/>
                <w:sz w:val="24"/>
                <w:szCs w:val="24"/>
              </w:rPr>
              <w:t xml:space="preserve"> support from international experience in these matters, applied in a locally relevant and diplomatically sensitive fashion can </w:t>
            </w:r>
            <w:proofErr w:type="spellStart"/>
            <w:r w:rsidRPr="00D317CB">
              <w:rPr>
                <w:rFonts w:cs="Arial"/>
                <w:sz w:val="24"/>
                <w:szCs w:val="24"/>
              </w:rPr>
              <w:t>capitalise</w:t>
            </w:r>
            <w:proofErr w:type="spellEnd"/>
            <w:r w:rsidRPr="00D317CB">
              <w:rPr>
                <w:rFonts w:cs="Arial"/>
                <w:sz w:val="24"/>
                <w:szCs w:val="24"/>
              </w:rPr>
              <w:t xml:space="preserve"> on the nascent but growing private sector investment groundswell.  Details of engagement/activities will be developed during the inception phase.</w:t>
            </w:r>
          </w:p>
          <w:p w:rsidR="007B4E8F" w:rsidRPr="00D317CB" w:rsidRDefault="007B4E8F" w:rsidP="00517FF4">
            <w:pPr>
              <w:pStyle w:val="BodyText2"/>
              <w:rPr>
                <w:rFonts w:asciiTheme="minorHAnsi" w:hAnsiTheme="minorHAnsi" w:cs="Arial"/>
                <w:color w:val="000000"/>
                <w:szCs w:val="24"/>
              </w:rPr>
            </w:pPr>
          </w:p>
        </w:tc>
        <w:tc>
          <w:tcPr>
            <w:tcW w:w="3060" w:type="dxa"/>
            <w:tcBorders>
              <w:left w:val="single" w:sz="4" w:space="0" w:color="auto"/>
              <w:right w:val="single" w:sz="4" w:space="0" w:color="auto"/>
            </w:tcBorders>
            <w:shd w:val="clear" w:color="auto" w:fill="auto"/>
          </w:tcPr>
          <w:p w:rsidR="007B4E8F" w:rsidRPr="00D317CB" w:rsidRDefault="007B4E8F" w:rsidP="00517FF4">
            <w:pPr>
              <w:jc w:val="both"/>
              <w:rPr>
                <w:sz w:val="24"/>
                <w:szCs w:val="24"/>
              </w:rPr>
            </w:pPr>
            <w:r w:rsidRPr="00D317CB">
              <w:rPr>
                <w:sz w:val="24"/>
                <w:szCs w:val="24"/>
              </w:rPr>
              <w:t xml:space="preserve">Not achieved as Project Manage only started work on late August  </w:t>
            </w:r>
          </w:p>
        </w:tc>
      </w:tr>
      <w:tr w:rsidR="007B4E8F" w:rsidRPr="00D317CB" w:rsidTr="007B4E8F">
        <w:trPr>
          <w:trHeight w:val="513"/>
        </w:trPr>
        <w:tc>
          <w:tcPr>
            <w:tcW w:w="3150" w:type="dxa"/>
            <w:vMerge w:val="restart"/>
            <w:tcBorders>
              <w:left w:val="single" w:sz="4" w:space="0" w:color="auto"/>
              <w:right w:val="single" w:sz="4" w:space="0" w:color="auto"/>
            </w:tcBorders>
            <w:vAlign w:val="center"/>
          </w:tcPr>
          <w:p w:rsidR="007B4E8F" w:rsidRPr="00D317CB" w:rsidRDefault="007B4E8F" w:rsidP="00517FF4">
            <w:pPr>
              <w:tabs>
                <w:tab w:val="left" w:pos="338"/>
              </w:tabs>
              <w:snapToGrid w:val="0"/>
              <w:jc w:val="both"/>
              <w:rPr>
                <w:rFonts w:cs="Arial"/>
                <w:sz w:val="24"/>
                <w:szCs w:val="24"/>
              </w:rPr>
            </w:pPr>
            <w:r w:rsidRPr="00D317CB">
              <w:rPr>
                <w:b/>
                <w:sz w:val="24"/>
                <w:szCs w:val="24"/>
              </w:rPr>
              <w:t>Output 3.</w:t>
            </w:r>
            <w:r w:rsidRPr="00D317CB">
              <w:rPr>
                <w:rFonts w:cs="Arial"/>
                <w:sz w:val="24"/>
                <w:szCs w:val="24"/>
              </w:rPr>
              <w:t xml:space="preserve"> </w:t>
            </w:r>
          </w:p>
          <w:p w:rsidR="007B4E8F" w:rsidRPr="00D317CB" w:rsidRDefault="007B4E8F" w:rsidP="00517FF4">
            <w:pPr>
              <w:tabs>
                <w:tab w:val="left" w:pos="338"/>
              </w:tabs>
              <w:snapToGrid w:val="0"/>
              <w:jc w:val="both"/>
              <w:rPr>
                <w:rFonts w:cs="Arial"/>
                <w:sz w:val="24"/>
                <w:szCs w:val="24"/>
              </w:rPr>
            </w:pPr>
            <w:r w:rsidRPr="00D317CB">
              <w:rPr>
                <w:rFonts w:cs="Arial"/>
                <w:sz w:val="24"/>
                <w:szCs w:val="24"/>
              </w:rPr>
              <w:t xml:space="preserve">Financing options to meet national adaptation costs,      including </w:t>
            </w:r>
            <w:smartTag w:uri="urn:schemas-microsoft-com:office:smarttags" w:element="stockticker">
              <w:r w:rsidRPr="00D317CB">
                <w:rPr>
                  <w:rFonts w:cs="Arial"/>
                  <w:sz w:val="24"/>
                  <w:szCs w:val="24"/>
                </w:rPr>
                <w:t>PPP</w:t>
              </w:r>
            </w:smartTag>
            <w:r w:rsidRPr="00D317CB">
              <w:rPr>
                <w:rFonts w:cs="Arial"/>
                <w:sz w:val="24"/>
                <w:szCs w:val="24"/>
              </w:rPr>
              <w:t xml:space="preserve"> and private participation, expanded at the local and national levels </w:t>
            </w:r>
            <w:r w:rsidRPr="00D317CB">
              <w:rPr>
                <w:rFonts w:cs="Arial"/>
                <w:sz w:val="24"/>
                <w:szCs w:val="24"/>
              </w:rPr>
              <w:lastRenderedPageBreak/>
              <w:t>are developed.</w:t>
            </w:r>
          </w:p>
          <w:p w:rsidR="007B4E8F" w:rsidRPr="00D317CB" w:rsidRDefault="007B4E8F" w:rsidP="00517FF4">
            <w:pPr>
              <w:rPr>
                <w:b/>
                <w:sz w:val="24"/>
                <w:szCs w:val="24"/>
              </w:rPr>
            </w:pPr>
          </w:p>
        </w:tc>
        <w:tc>
          <w:tcPr>
            <w:tcW w:w="3780" w:type="dxa"/>
            <w:tcBorders>
              <w:top w:val="single" w:sz="4" w:space="0" w:color="auto"/>
              <w:left w:val="single" w:sz="4" w:space="0" w:color="auto"/>
              <w:bottom w:val="single" w:sz="4" w:space="0" w:color="auto"/>
              <w:right w:val="single" w:sz="4" w:space="0" w:color="auto"/>
            </w:tcBorders>
            <w:vAlign w:val="center"/>
          </w:tcPr>
          <w:p w:rsidR="007B4E8F" w:rsidRPr="00D317CB" w:rsidRDefault="007B4E8F" w:rsidP="00517FF4">
            <w:pPr>
              <w:pStyle w:val="BodyText2"/>
              <w:rPr>
                <w:rFonts w:asciiTheme="minorHAnsi" w:hAnsiTheme="minorHAnsi"/>
                <w:color w:val="auto"/>
                <w:szCs w:val="24"/>
              </w:rPr>
            </w:pPr>
            <w:r w:rsidRPr="00D317CB">
              <w:rPr>
                <w:rFonts w:asciiTheme="minorHAnsi" w:hAnsiTheme="minorHAnsi" w:cs="Arial"/>
                <w:color w:val="000000"/>
                <w:szCs w:val="24"/>
              </w:rPr>
              <w:lastRenderedPageBreak/>
              <w:t>Baseline Research on the financial value of adaptation</w:t>
            </w:r>
          </w:p>
          <w:p w:rsidR="007B4E8F" w:rsidRPr="00D317CB" w:rsidRDefault="007B4E8F" w:rsidP="00517FF4">
            <w:pPr>
              <w:pStyle w:val="BodyText2"/>
              <w:rPr>
                <w:rFonts w:asciiTheme="minorHAnsi" w:hAnsiTheme="minorHAnsi" w:cs="Arial"/>
                <w:color w:val="000000"/>
                <w:szCs w:val="24"/>
              </w:rPr>
            </w:pPr>
          </w:p>
        </w:tc>
        <w:tc>
          <w:tcPr>
            <w:tcW w:w="3060" w:type="dxa"/>
            <w:tcBorders>
              <w:left w:val="single" w:sz="4" w:space="0" w:color="auto"/>
              <w:right w:val="single" w:sz="4" w:space="0" w:color="auto"/>
            </w:tcBorders>
            <w:shd w:val="clear" w:color="auto" w:fill="auto"/>
          </w:tcPr>
          <w:p w:rsidR="007B4E8F" w:rsidRPr="00D317CB" w:rsidRDefault="007B4E8F" w:rsidP="00517FF4">
            <w:pPr>
              <w:jc w:val="both"/>
              <w:rPr>
                <w:sz w:val="24"/>
                <w:szCs w:val="24"/>
              </w:rPr>
            </w:pPr>
            <w:r w:rsidRPr="00D317CB">
              <w:rPr>
                <w:sz w:val="24"/>
                <w:szCs w:val="24"/>
              </w:rPr>
              <w:t>TORs have been developed</w:t>
            </w:r>
          </w:p>
        </w:tc>
      </w:tr>
      <w:tr w:rsidR="007B4E8F" w:rsidRPr="00D317CB" w:rsidTr="007B4E8F">
        <w:trPr>
          <w:trHeight w:val="512"/>
        </w:trPr>
        <w:tc>
          <w:tcPr>
            <w:tcW w:w="3150" w:type="dxa"/>
            <w:vMerge/>
            <w:tcBorders>
              <w:left w:val="single" w:sz="4" w:space="0" w:color="auto"/>
              <w:right w:val="single" w:sz="4" w:space="0" w:color="auto"/>
            </w:tcBorders>
            <w:vAlign w:val="center"/>
          </w:tcPr>
          <w:p w:rsidR="007B4E8F" w:rsidRPr="00D317CB" w:rsidRDefault="007B4E8F" w:rsidP="00517FF4">
            <w:pPr>
              <w:tabs>
                <w:tab w:val="left" w:pos="338"/>
              </w:tabs>
              <w:snapToGrid w:val="0"/>
              <w:jc w:val="both"/>
              <w:rPr>
                <w:b/>
                <w:sz w:val="24"/>
                <w:szCs w:val="24"/>
              </w:rPr>
            </w:pPr>
          </w:p>
        </w:tc>
        <w:tc>
          <w:tcPr>
            <w:tcW w:w="3780" w:type="dxa"/>
            <w:tcBorders>
              <w:top w:val="single" w:sz="4" w:space="0" w:color="auto"/>
              <w:left w:val="single" w:sz="4" w:space="0" w:color="auto"/>
              <w:bottom w:val="single" w:sz="4" w:space="0" w:color="auto"/>
              <w:right w:val="single" w:sz="4" w:space="0" w:color="auto"/>
            </w:tcBorders>
            <w:vAlign w:val="center"/>
          </w:tcPr>
          <w:p w:rsidR="007B4E8F" w:rsidRPr="00D317CB" w:rsidRDefault="007B4E8F" w:rsidP="00517FF4">
            <w:pPr>
              <w:pStyle w:val="BodyText2"/>
              <w:rPr>
                <w:rFonts w:asciiTheme="minorHAnsi" w:hAnsiTheme="minorHAnsi"/>
                <w:color w:val="auto"/>
                <w:szCs w:val="24"/>
              </w:rPr>
            </w:pPr>
            <w:r w:rsidRPr="00D317CB">
              <w:rPr>
                <w:rFonts w:asciiTheme="minorHAnsi" w:hAnsiTheme="minorHAnsi" w:cs="Arial"/>
                <w:color w:val="000000"/>
                <w:szCs w:val="24"/>
              </w:rPr>
              <w:t>Mainstream the Private Sector Competitiveness Project to stage HECCA and Renewable Energy Investment Promotions including forums</w:t>
            </w:r>
          </w:p>
          <w:p w:rsidR="007B4E8F" w:rsidRPr="00D317CB" w:rsidRDefault="007B4E8F" w:rsidP="00517FF4">
            <w:pPr>
              <w:pStyle w:val="BodyText2"/>
              <w:rPr>
                <w:rFonts w:asciiTheme="minorHAnsi" w:hAnsiTheme="minorHAnsi" w:cs="Arial"/>
                <w:color w:val="000000"/>
                <w:szCs w:val="24"/>
              </w:rPr>
            </w:pPr>
          </w:p>
        </w:tc>
        <w:tc>
          <w:tcPr>
            <w:tcW w:w="3060" w:type="dxa"/>
            <w:tcBorders>
              <w:left w:val="single" w:sz="4" w:space="0" w:color="auto"/>
              <w:right w:val="single" w:sz="4" w:space="0" w:color="auto"/>
            </w:tcBorders>
            <w:shd w:val="clear" w:color="auto" w:fill="auto"/>
          </w:tcPr>
          <w:p w:rsidR="007B4E8F" w:rsidRPr="00D317CB" w:rsidRDefault="007B4E8F" w:rsidP="00517FF4">
            <w:pPr>
              <w:jc w:val="both"/>
              <w:rPr>
                <w:sz w:val="24"/>
                <w:szCs w:val="24"/>
              </w:rPr>
            </w:pPr>
            <w:r w:rsidRPr="00D317CB">
              <w:rPr>
                <w:sz w:val="24"/>
                <w:szCs w:val="24"/>
              </w:rPr>
              <w:lastRenderedPageBreak/>
              <w:t xml:space="preserve">Activity initiated by meeting with Private Sector Foundation chairperson. </w:t>
            </w:r>
          </w:p>
        </w:tc>
      </w:tr>
      <w:tr w:rsidR="007B4E8F" w:rsidRPr="00D317CB" w:rsidTr="007B4E8F">
        <w:trPr>
          <w:trHeight w:val="512"/>
        </w:trPr>
        <w:tc>
          <w:tcPr>
            <w:tcW w:w="3150" w:type="dxa"/>
            <w:vMerge/>
            <w:tcBorders>
              <w:left w:val="single" w:sz="4" w:space="0" w:color="auto"/>
              <w:right w:val="single" w:sz="4" w:space="0" w:color="auto"/>
            </w:tcBorders>
            <w:vAlign w:val="center"/>
          </w:tcPr>
          <w:p w:rsidR="007B4E8F" w:rsidRPr="00D317CB" w:rsidRDefault="007B4E8F" w:rsidP="00517FF4">
            <w:pPr>
              <w:tabs>
                <w:tab w:val="left" w:pos="338"/>
              </w:tabs>
              <w:snapToGrid w:val="0"/>
              <w:jc w:val="both"/>
              <w:rPr>
                <w:b/>
                <w:sz w:val="24"/>
                <w:szCs w:val="24"/>
              </w:rPr>
            </w:pPr>
          </w:p>
        </w:tc>
        <w:tc>
          <w:tcPr>
            <w:tcW w:w="3780" w:type="dxa"/>
            <w:tcBorders>
              <w:top w:val="single" w:sz="4" w:space="0" w:color="auto"/>
              <w:left w:val="single" w:sz="4" w:space="0" w:color="auto"/>
              <w:bottom w:val="single" w:sz="4" w:space="0" w:color="auto"/>
              <w:right w:val="single" w:sz="4" w:space="0" w:color="auto"/>
            </w:tcBorders>
            <w:vAlign w:val="center"/>
          </w:tcPr>
          <w:p w:rsidR="007B4E8F" w:rsidRPr="00D317CB" w:rsidRDefault="007B4E8F" w:rsidP="00517FF4">
            <w:pPr>
              <w:pStyle w:val="BodyText2"/>
              <w:rPr>
                <w:rFonts w:asciiTheme="minorHAnsi" w:hAnsiTheme="minorHAnsi"/>
                <w:color w:val="auto"/>
                <w:szCs w:val="24"/>
              </w:rPr>
            </w:pPr>
            <w:r w:rsidRPr="00D317CB">
              <w:rPr>
                <w:rFonts w:asciiTheme="minorHAnsi" w:hAnsiTheme="minorHAnsi"/>
                <w:color w:val="auto"/>
                <w:szCs w:val="24"/>
              </w:rPr>
              <w:t>Develop concept of long-term financing including through endowment funds, and mainstreaming HECCA as key risk and opportunity to microfinance. In particular, develop a financing strategy that will help communities, especially the most vulnerable, with sustainable income generation mechanisms to purchase alternative and renewable energy products by exploring the potential of risk-proof network marketing systems, and streamline with PRS/NDF, the coming NDP, MCA and UNDAF. Carry out assessment of options</w:t>
            </w:r>
            <w:r w:rsidRPr="00D317CB">
              <w:rPr>
                <w:rFonts w:asciiTheme="minorHAnsi" w:hAnsiTheme="minorHAnsi"/>
                <w:szCs w:val="24"/>
              </w:rPr>
              <w:t>.</w:t>
            </w:r>
          </w:p>
          <w:p w:rsidR="007B4E8F" w:rsidRPr="00D317CB" w:rsidRDefault="007B4E8F" w:rsidP="00517FF4">
            <w:pPr>
              <w:pStyle w:val="BodyText2"/>
              <w:rPr>
                <w:rFonts w:asciiTheme="minorHAnsi" w:hAnsiTheme="minorHAnsi" w:cs="Arial"/>
                <w:color w:val="000000"/>
                <w:szCs w:val="24"/>
              </w:rPr>
            </w:pPr>
          </w:p>
        </w:tc>
        <w:tc>
          <w:tcPr>
            <w:tcW w:w="3060" w:type="dxa"/>
            <w:tcBorders>
              <w:left w:val="single" w:sz="4" w:space="0" w:color="auto"/>
              <w:right w:val="single" w:sz="4" w:space="0" w:color="auto"/>
            </w:tcBorders>
            <w:shd w:val="clear" w:color="auto" w:fill="auto"/>
          </w:tcPr>
          <w:p w:rsidR="007B4E8F" w:rsidRPr="00D317CB" w:rsidRDefault="00F87188" w:rsidP="00F87188">
            <w:pPr>
              <w:jc w:val="both"/>
              <w:rPr>
                <w:sz w:val="24"/>
                <w:szCs w:val="24"/>
              </w:rPr>
            </w:pPr>
            <w:r w:rsidRPr="00D317CB">
              <w:rPr>
                <w:sz w:val="24"/>
                <w:szCs w:val="24"/>
              </w:rPr>
              <w:t xml:space="preserve">A LREBRE project </w:t>
            </w:r>
            <w:proofErr w:type="gramStart"/>
            <w:r w:rsidRPr="00D317CB">
              <w:rPr>
                <w:sz w:val="24"/>
                <w:szCs w:val="24"/>
              </w:rPr>
              <w:t>p</w:t>
            </w:r>
            <w:r w:rsidR="007B4E8F" w:rsidRPr="00D317CB">
              <w:rPr>
                <w:sz w:val="24"/>
                <w:szCs w:val="24"/>
              </w:rPr>
              <w:t>roposal  of</w:t>
            </w:r>
            <w:proofErr w:type="gramEnd"/>
            <w:r w:rsidR="007B4E8F" w:rsidRPr="00D317CB">
              <w:rPr>
                <w:sz w:val="24"/>
                <w:szCs w:val="24"/>
              </w:rPr>
              <w:t xml:space="preserve"> replacing diesel with solar power for running   irrigation  pumps has been submitted for funding under AAP  as a “quick win”. Arrangements for implementation are at an advanced stage </w:t>
            </w:r>
          </w:p>
        </w:tc>
      </w:tr>
      <w:tr w:rsidR="007B4E8F" w:rsidRPr="00D317CB" w:rsidTr="00022672">
        <w:trPr>
          <w:trHeight w:val="512"/>
        </w:trPr>
        <w:tc>
          <w:tcPr>
            <w:tcW w:w="3150" w:type="dxa"/>
            <w:vMerge/>
            <w:tcBorders>
              <w:left w:val="single" w:sz="4" w:space="0" w:color="auto"/>
              <w:right w:val="single" w:sz="4" w:space="0" w:color="auto"/>
            </w:tcBorders>
            <w:vAlign w:val="center"/>
          </w:tcPr>
          <w:p w:rsidR="007B4E8F" w:rsidRPr="00D317CB" w:rsidRDefault="007B4E8F" w:rsidP="00517FF4">
            <w:pPr>
              <w:tabs>
                <w:tab w:val="left" w:pos="338"/>
              </w:tabs>
              <w:snapToGrid w:val="0"/>
              <w:jc w:val="both"/>
              <w:rPr>
                <w:b/>
                <w:sz w:val="24"/>
                <w:szCs w:val="24"/>
              </w:rPr>
            </w:pPr>
          </w:p>
        </w:tc>
        <w:tc>
          <w:tcPr>
            <w:tcW w:w="3780" w:type="dxa"/>
            <w:tcBorders>
              <w:top w:val="single" w:sz="4" w:space="0" w:color="auto"/>
              <w:left w:val="single" w:sz="4" w:space="0" w:color="auto"/>
              <w:bottom w:val="single" w:sz="4" w:space="0" w:color="auto"/>
              <w:right w:val="single" w:sz="4" w:space="0" w:color="auto"/>
            </w:tcBorders>
            <w:vAlign w:val="center"/>
          </w:tcPr>
          <w:p w:rsidR="007B4E8F" w:rsidRPr="00D317CB" w:rsidRDefault="007B4E8F" w:rsidP="00517FF4">
            <w:pPr>
              <w:pStyle w:val="BodyText2"/>
              <w:rPr>
                <w:rFonts w:asciiTheme="minorHAnsi" w:hAnsiTheme="minorHAnsi"/>
                <w:color w:val="auto"/>
                <w:szCs w:val="24"/>
              </w:rPr>
            </w:pPr>
            <w:r w:rsidRPr="00D317CB">
              <w:rPr>
                <w:rFonts w:asciiTheme="minorHAnsi" w:hAnsiTheme="minorHAnsi"/>
                <w:color w:val="auto"/>
                <w:szCs w:val="24"/>
              </w:rPr>
              <w:t>Strengthen and initiate partnerships with e.g. GEF, PIH, SELF and other donors to respond to HECCA challenges.</w:t>
            </w:r>
          </w:p>
        </w:tc>
        <w:tc>
          <w:tcPr>
            <w:tcW w:w="3060" w:type="dxa"/>
            <w:tcBorders>
              <w:left w:val="single" w:sz="4" w:space="0" w:color="auto"/>
              <w:right w:val="single" w:sz="4" w:space="0" w:color="auto"/>
            </w:tcBorders>
            <w:shd w:val="clear" w:color="auto" w:fill="auto"/>
          </w:tcPr>
          <w:p w:rsidR="007B4E8F" w:rsidRPr="00D317CB" w:rsidRDefault="007B4E8F" w:rsidP="00517FF4">
            <w:pPr>
              <w:jc w:val="both"/>
              <w:rPr>
                <w:b/>
                <w:i/>
                <w:sz w:val="24"/>
                <w:szCs w:val="24"/>
              </w:rPr>
            </w:pPr>
            <w:r w:rsidRPr="00D317CB">
              <w:rPr>
                <w:b/>
                <w:i/>
                <w:sz w:val="24"/>
                <w:szCs w:val="24"/>
              </w:rPr>
              <w:t xml:space="preserve"> </w:t>
            </w:r>
            <w:r w:rsidRPr="00D317CB">
              <w:rPr>
                <w:sz w:val="24"/>
                <w:szCs w:val="24"/>
              </w:rPr>
              <w:t xml:space="preserve">Not achieved as Project Manage only started work on late August  </w:t>
            </w:r>
          </w:p>
        </w:tc>
      </w:tr>
      <w:tr w:rsidR="00022672" w:rsidRPr="00D317CB" w:rsidTr="009A2D08">
        <w:trPr>
          <w:trHeight w:val="1392"/>
        </w:trPr>
        <w:tc>
          <w:tcPr>
            <w:tcW w:w="3150" w:type="dxa"/>
            <w:tcBorders>
              <w:left w:val="single" w:sz="4" w:space="0" w:color="auto"/>
              <w:right w:val="single" w:sz="4" w:space="0" w:color="auto"/>
            </w:tcBorders>
            <w:vAlign w:val="center"/>
          </w:tcPr>
          <w:p w:rsidR="00022672" w:rsidRPr="00D317CB" w:rsidRDefault="00022672" w:rsidP="00517FF4">
            <w:pPr>
              <w:tabs>
                <w:tab w:val="left" w:pos="338"/>
              </w:tabs>
              <w:snapToGrid w:val="0"/>
              <w:jc w:val="both"/>
              <w:rPr>
                <w:b/>
                <w:sz w:val="24"/>
                <w:szCs w:val="24"/>
              </w:rPr>
            </w:pPr>
            <w:r w:rsidRPr="00D317CB">
              <w:rPr>
                <w:b/>
                <w:sz w:val="24"/>
                <w:szCs w:val="24"/>
              </w:rPr>
              <w:t>Output 4</w:t>
            </w:r>
            <w:r w:rsidR="009A2D08" w:rsidRPr="00D317CB">
              <w:rPr>
                <w:b/>
                <w:sz w:val="24"/>
                <w:szCs w:val="24"/>
              </w:rPr>
              <w:t xml:space="preserve">: Knowledge on adjusting national and sub national development processes to fully incorporate climate change risks /opportunities generated and shred across all levels </w:t>
            </w:r>
            <w:r w:rsidRPr="00D317CB">
              <w:rPr>
                <w:b/>
                <w:sz w:val="24"/>
                <w:szCs w:val="24"/>
              </w:rPr>
              <w:t xml:space="preserve"> </w:t>
            </w:r>
          </w:p>
        </w:tc>
        <w:tc>
          <w:tcPr>
            <w:tcW w:w="3780" w:type="dxa"/>
            <w:tcBorders>
              <w:top w:val="single" w:sz="4" w:space="0" w:color="auto"/>
              <w:left w:val="single" w:sz="4" w:space="0" w:color="auto"/>
              <w:bottom w:val="single" w:sz="4" w:space="0" w:color="auto"/>
              <w:right w:val="single" w:sz="4" w:space="0" w:color="auto"/>
            </w:tcBorders>
            <w:vAlign w:val="center"/>
          </w:tcPr>
          <w:p w:rsidR="00FD649B" w:rsidRPr="00D317CB" w:rsidRDefault="009A2D08" w:rsidP="00FD649B">
            <w:pPr>
              <w:tabs>
                <w:tab w:val="left" w:pos="360"/>
              </w:tabs>
              <w:spacing w:after="0" w:line="240" w:lineRule="auto"/>
              <w:jc w:val="both"/>
              <w:rPr>
                <w:rFonts w:cs="Arial"/>
                <w:sz w:val="24"/>
                <w:szCs w:val="24"/>
              </w:rPr>
            </w:pPr>
            <w:r w:rsidRPr="00D317CB">
              <w:rPr>
                <w:rFonts w:cs="Arial"/>
                <w:sz w:val="24"/>
                <w:szCs w:val="24"/>
              </w:rPr>
              <w:t>Con</w:t>
            </w:r>
            <w:r w:rsidR="00393C63" w:rsidRPr="00D317CB">
              <w:rPr>
                <w:rFonts w:cs="Arial"/>
                <w:sz w:val="24"/>
                <w:szCs w:val="24"/>
              </w:rPr>
              <w:t>tribute to national and international community of practitioners through science communication platforms such as attendance at meetings conferences and other platforms including peer reviewed paper  contributions in</w:t>
            </w:r>
            <w:r w:rsidR="00FD649B" w:rsidRPr="00D317CB">
              <w:rPr>
                <w:rFonts w:cs="Arial"/>
                <w:sz w:val="24"/>
                <w:szCs w:val="24"/>
              </w:rPr>
              <w:t xml:space="preserve"> Lesotho, regionally and internationally, especially through the NAPA.</w:t>
            </w:r>
          </w:p>
          <w:p w:rsidR="00022672" w:rsidRPr="00D317CB" w:rsidRDefault="00022672" w:rsidP="009A2D08">
            <w:pPr>
              <w:tabs>
                <w:tab w:val="left" w:pos="360"/>
              </w:tabs>
              <w:spacing w:after="0" w:line="240" w:lineRule="auto"/>
              <w:jc w:val="both"/>
              <w:rPr>
                <w:sz w:val="24"/>
                <w:szCs w:val="24"/>
              </w:rPr>
            </w:pPr>
          </w:p>
        </w:tc>
        <w:tc>
          <w:tcPr>
            <w:tcW w:w="3060" w:type="dxa"/>
            <w:tcBorders>
              <w:left w:val="single" w:sz="4" w:space="0" w:color="auto"/>
              <w:right w:val="single" w:sz="4" w:space="0" w:color="auto"/>
            </w:tcBorders>
            <w:shd w:val="clear" w:color="auto" w:fill="auto"/>
          </w:tcPr>
          <w:p w:rsidR="00022672" w:rsidRPr="00D317CB" w:rsidRDefault="00022672" w:rsidP="009A2D08">
            <w:pPr>
              <w:jc w:val="both"/>
              <w:rPr>
                <w:b/>
                <w:i/>
                <w:sz w:val="24"/>
                <w:szCs w:val="24"/>
              </w:rPr>
            </w:pPr>
            <w:r w:rsidRPr="00D317CB">
              <w:rPr>
                <w:rFonts w:cs="Arial"/>
                <w:sz w:val="24"/>
                <w:szCs w:val="24"/>
              </w:rPr>
              <w:t>Experiences from other countries on the promotion and utilization of renewable energies have been</w:t>
            </w:r>
            <w:r w:rsidR="009A2D08" w:rsidRPr="00D317CB">
              <w:rPr>
                <w:rFonts w:cs="Arial"/>
                <w:sz w:val="24"/>
                <w:szCs w:val="24"/>
              </w:rPr>
              <w:t xml:space="preserve"> </w:t>
            </w:r>
            <w:r w:rsidRPr="00D317CB">
              <w:rPr>
                <w:rFonts w:cs="Arial"/>
                <w:sz w:val="24"/>
                <w:szCs w:val="24"/>
              </w:rPr>
              <w:t>acquired.  These</w:t>
            </w:r>
            <w:r w:rsidR="009A2D08" w:rsidRPr="00D317CB">
              <w:rPr>
                <w:rFonts w:cs="Arial"/>
                <w:sz w:val="24"/>
                <w:szCs w:val="24"/>
              </w:rPr>
              <w:t xml:space="preserve"> experiences have contributed in the conceptualization of pilot projects and will be of importance as well, during the consideration of integrated and comprehensive approaches to adaptation in output one</w:t>
            </w:r>
          </w:p>
        </w:tc>
      </w:tr>
    </w:tbl>
    <w:p w:rsidR="007B4E8F" w:rsidRPr="00D317CB" w:rsidRDefault="007B4E8F" w:rsidP="007B4E8F">
      <w:pPr>
        <w:jc w:val="both"/>
        <w:rPr>
          <w:rFonts w:cs="Arial"/>
          <w:sz w:val="24"/>
          <w:szCs w:val="24"/>
        </w:rPr>
      </w:pPr>
    </w:p>
    <w:p w:rsidR="007B4E8F" w:rsidRPr="00D317CB" w:rsidRDefault="007B4E8F" w:rsidP="007B4E8F">
      <w:pPr>
        <w:jc w:val="both"/>
        <w:rPr>
          <w:rFonts w:cs="Arial"/>
          <w:sz w:val="24"/>
          <w:szCs w:val="24"/>
        </w:rPr>
      </w:pPr>
      <w:r w:rsidRPr="00D317CB">
        <w:rPr>
          <w:rFonts w:cs="Arial"/>
          <w:sz w:val="24"/>
          <w:szCs w:val="24"/>
        </w:rPr>
        <w:t xml:space="preserve"> </w:t>
      </w:r>
    </w:p>
    <w:sectPr w:rsidR="007B4E8F" w:rsidRPr="00D317CB" w:rsidSect="006E2A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2475"/>
    <w:multiLevelType w:val="hybridMultilevel"/>
    <w:tmpl w:val="AE2695A0"/>
    <w:lvl w:ilvl="0" w:tplc="24449176">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06DF5721"/>
    <w:multiLevelType w:val="hybridMultilevel"/>
    <w:tmpl w:val="A3E8A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882C12"/>
    <w:multiLevelType w:val="hybridMultilevel"/>
    <w:tmpl w:val="E5DE284E"/>
    <w:lvl w:ilvl="0" w:tplc="24449176">
      <w:start w:val="1"/>
      <w:numFmt w:val="bullet"/>
      <w:lvlText w:val=""/>
      <w:lvlJc w:val="left"/>
      <w:pPr>
        <w:tabs>
          <w:tab w:val="num" w:pos="900"/>
        </w:tabs>
        <w:ind w:left="900" w:hanging="360"/>
      </w:pPr>
      <w:rPr>
        <w:rFonts w:ascii="Symbol" w:hAnsi="Symbol" w:cs="Symbol"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1980"/>
        </w:tabs>
        <w:ind w:left="1980" w:hanging="360"/>
      </w:pPr>
      <w:rPr>
        <w:rFonts w:ascii="Wingdings" w:hAnsi="Wingdings" w:cs="Wingdings" w:hint="default"/>
      </w:rPr>
    </w:lvl>
    <w:lvl w:ilvl="3" w:tplc="08090001">
      <w:start w:val="1"/>
      <w:numFmt w:val="bullet"/>
      <w:lvlText w:val=""/>
      <w:lvlJc w:val="left"/>
      <w:pPr>
        <w:tabs>
          <w:tab w:val="num" w:pos="2700"/>
        </w:tabs>
        <w:ind w:left="2700" w:hanging="360"/>
      </w:pPr>
      <w:rPr>
        <w:rFonts w:ascii="Symbol" w:hAnsi="Symbol" w:cs="Symbol" w:hint="default"/>
      </w:rPr>
    </w:lvl>
    <w:lvl w:ilvl="4" w:tplc="08090003">
      <w:start w:val="1"/>
      <w:numFmt w:val="bullet"/>
      <w:lvlText w:val="o"/>
      <w:lvlJc w:val="left"/>
      <w:pPr>
        <w:tabs>
          <w:tab w:val="num" w:pos="3420"/>
        </w:tabs>
        <w:ind w:left="3420" w:hanging="360"/>
      </w:pPr>
      <w:rPr>
        <w:rFonts w:ascii="Courier New" w:hAnsi="Courier New" w:cs="Courier New" w:hint="default"/>
      </w:rPr>
    </w:lvl>
    <w:lvl w:ilvl="5" w:tplc="08090005">
      <w:start w:val="1"/>
      <w:numFmt w:val="bullet"/>
      <w:lvlText w:val=""/>
      <w:lvlJc w:val="left"/>
      <w:pPr>
        <w:tabs>
          <w:tab w:val="num" w:pos="4140"/>
        </w:tabs>
        <w:ind w:left="4140" w:hanging="360"/>
      </w:pPr>
      <w:rPr>
        <w:rFonts w:ascii="Wingdings" w:hAnsi="Wingdings" w:cs="Wingdings" w:hint="default"/>
      </w:rPr>
    </w:lvl>
    <w:lvl w:ilvl="6" w:tplc="08090001">
      <w:start w:val="1"/>
      <w:numFmt w:val="bullet"/>
      <w:lvlText w:val=""/>
      <w:lvlJc w:val="left"/>
      <w:pPr>
        <w:tabs>
          <w:tab w:val="num" w:pos="4860"/>
        </w:tabs>
        <w:ind w:left="4860" w:hanging="360"/>
      </w:pPr>
      <w:rPr>
        <w:rFonts w:ascii="Symbol" w:hAnsi="Symbol" w:cs="Symbol" w:hint="default"/>
      </w:rPr>
    </w:lvl>
    <w:lvl w:ilvl="7" w:tplc="08090003">
      <w:start w:val="1"/>
      <w:numFmt w:val="bullet"/>
      <w:lvlText w:val="o"/>
      <w:lvlJc w:val="left"/>
      <w:pPr>
        <w:tabs>
          <w:tab w:val="num" w:pos="5580"/>
        </w:tabs>
        <w:ind w:left="5580" w:hanging="360"/>
      </w:pPr>
      <w:rPr>
        <w:rFonts w:ascii="Courier New" w:hAnsi="Courier New" w:cs="Courier New" w:hint="default"/>
      </w:rPr>
    </w:lvl>
    <w:lvl w:ilvl="8" w:tplc="08090005">
      <w:start w:val="1"/>
      <w:numFmt w:val="bullet"/>
      <w:lvlText w:val=""/>
      <w:lvlJc w:val="left"/>
      <w:pPr>
        <w:tabs>
          <w:tab w:val="num" w:pos="6300"/>
        </w:tabs>
        <w:ind w:left="6300" w:hanging="360"/>
      </w:pPr>
      <w:rPr>
        <w:rFonts w:ascii="Wingdings" w:hAnsi="Wingdings" w:cs="Wingdings" w:hint="default"/>
      </w:rPr>
    </w:lvl>
  </w:abstractNum>
  <w:abstractNum w:abstractNumId="3">
    <w:nsid w:val="16A90AF6"/>
    <w:multiLevelType w:val="hybridMultilevel"/>
    <w:tmpl w:val="6A1E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2123DC"/>
    <w:multiLevelType w:val="hybridMultilevel"/>
    <w:tmpl w:val="D086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F96055"/>
    <w:multiLevelType w:val="hybridMultilevel"/>
    <w:tmpl w:val="B52AB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0B71A4"/>
    <w:multiLevelType w:val="hybridMultilevel"/>
    <w:tmpl w:val="70304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723FC9"/>
    <w:multiLevelType w:val="hybridMultilevel"/>
    <w:tmpl w:val="9AD6AFF6"/>
    <w:lvl w:ilvl="0" w:tplc="10090001">
      <w:start w:val="1"/>
      <w:numFmt w:val="bullet"/>
      <w:lvlText w:val=""/>
      <w:lvlJc w:val="left"/>
      <w:pPr>
        <w:tabs>
          <w:tab w:val="num" w:pos="360"/>
        </w:tabs>
        <w:ind w:left="360" w:hanging="360"/>
      </w:pPr>
      <w:rPr>
        <w:rFonts w:ascii="Symbol" w:hAnsi="Symbol" w:cs="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start w:val="1"/>
      <w:numFmt w:val="bullet"/>
      <w:lvlText w:val=""/>
      <w:lvlJc w:val="left"/>
      <w:pPr>
        <w:tabs>
          <w:tab w:val="num" w:pos="1800"/>
        </w:tabs>
        <w:ind w:left="1800" w:hanging="360"/>
      </w:pPr>
      <w:rPr>
        <w:rFonts w:ascii="Wingdings" w:hAnsi="Wingdings" w:cs="Wingdings" w:hint="default"/>
      </w:rPr>
    </w:lvl>
    <w:lvl w:ilvl="3" w:tplc="0409000B">
      <w:start w:val="1"/>
      <w:numFmt w:val="bullet"/>
      <w:lvlText w:val=""/>
      <w:lvlJc w:val="left"/>
      <w:pPr>
        <w:tabs>
          <w:tab w:val="num" w:pos="2520"/>
        </w:tabs>
        <w:ind w:left="2520" w:hanging="360"/>
      </w:pPr>
      <w:rPr>
        <w:rFonts w:ascii="Wingdings" w:hAnsi="Wingdings" w:hint="default"/>
      </w:rPr>
    </w:lvl>
    <w:lvl w:ilvl="4" w:tplc="10090003">
      <w:start w:val="1"/>
      <w:numFmt w:val="bullet"/>
      <w:lvlText w:val="o"/>
      <w:lvlJc w:val="left"/>
      <w:pPr>
        <w:tabs>
          <w:tab w:val="num" w:pos="3240"/>
        </w:tabs>
        <w:ind w:left="3240" w:hanging="360"/>
      </w:pPr>
      <w:rPr>
        <w:rFonts w:ascii="Courier New" w:hAnsi="Courier New" w:cs="Courier New" w:hint="default"/>
      </w:rPr>
    </w:lvl>
    <w:lvl w:ilvl="5" w:tplc="10090005">
      <w:start w:val="1"/>
      <w:numFmt w:val="bullet"/>
      <w:lvlText w:val=""/>
      <w:lvlJc w:val="left"/>
      <w:pPr>
        <w:tabs>
          <w:tab w:val="num" w:pos="3960"/>
        </w:tabs>
        <w:ind w:left="3960" w:hanging="360"/>
      </w:pPr>
      <w:rPr>
        <w:rFonts w:ascii="Wingdings" w:hAnsi="Wingdings" w:cs="Wingdings" w:hint="default"/>
      </w:rPr>
    </w:lvl>
    <w:lvl w:ilvl="6" w:tplc="10090001">
      <w:start w:val="1"/>
      <w:numFmt w:val="bullet"/>
      <w:lvlText w:val=""/>
      <w:lvlJc w:val="left"/>
      <w:pPr>
        <w:tabs>
          <w:tab w:val="num" w:pos="4680"/>
        </w:tabs>
        <w:ind w:left="4680" w:hanging="360"/>
      </w:pPr>
      <w:rPr>
        <w:rFonts w:ascii="Symbol" w:hAnsi="Symbol" w:cs="Symbol" w:hint="default"/>
      </w:rPr>
    </w:lvl>
    <w:lvl w:ilvl="7" w:tplc="10090003">
      <w:start w:val="1"/>
      <w:numFmt w:val="bullet"/>
      <w:lvlText w:val="o"/>
      <w:lvlJc w:val="left"/>
      <w:pPr>
        <w:tabs>
          <w:tab w:val="num" w:pos="5400"/>
        </w:tabs>
        <w:ind w:left="5400" w:hanging="360"/>
      </w:pPr>
      <w:rPr>
        <w:rFonts w:ascii="Courier New" w:hAnsi="Courier New" w:cs="Courier New" w:hint="default"/>
      </w:rPr>
    </w:lvl>
    <w:lvl w:ilvl="8" w:tplc="10090005">
      <w:start w:val="1"/>
      <w:numFmt w:val="bullet"/>
      <w:lvlText w:val=""/>
      <w:lvlJc w:val="left"/>
      <w:pPr>
        <w:tabs>
          <w:tab w:val="num" w:pos="6120"/>
        </w:tabs>
        <w:ind w:left="6120" w:hanging="360"/>
      </w:pPr>
      <w:rPr>
        <w:rFonts w:ascii="Wingdings" w:hAnsi="Wingdings" w:cs="Wingdings" w:hint="default"/>
      </w:rPr>
    </w:lvl>
  </w:abstractNum>
  <w:abstractNum w:abstractNumId="8">
    <w:nsid w:val="32187D1E"/>
    <w:multiLevelType w:val="hybridMultilevel"/>
    <w:tmpl w:val="75D0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D1332E"/>
    <w:multiLevelType w:val="hybridMultilevel"/>
    <w:tmpl w:val="C8CA679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B126F05"/>
    <w:multiLevelType w:val="hybridMultilevel"/>
    <w:tmpl w:val="A882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802737"/>
    <w:multiLevelType w:val="hybridMultilevel"/>
    <w:tmpl w:val="5364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2C11E1"/>
    <w:multiLevelType w:val="hybridMultilevel"/>
    <w:tmpl w:val="45A64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966C51"/>
    <w:multiLevelType w:val="hybridMultilevel"/>
    <w:tmpl w:val="CCFC9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A42B3"/>
    <w:multiLevelType w:val="hybridMultilevel"/>
    <w:tmpl w:val="674EBA56"/>
    <w:lvl w:ilvl="0" w:tplc="10090001">
      <w:start w:val="1"/>
      <w:numFmt w:val="bullet"/>
      <w:lvlText w:val=""/>
      <w:lvlJc w:val="left"/>
      <w:pPr>
        <w:tabs>
          <w:tab w:val="num" w:pos="360"/>
        </w:tabs>
        <w:ind w:left="360" w:hanging="360"/>
      </w:pPr>
      <w:rPr>
        <w:rFonts w:ascii="Symbol" w:hAnsi="Symbol" w:cs="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start w:val="1"/>
      <w:numFmt w:val="bullet"/>
      <w:lvlText w:val=""/>
      <w:lvlJc w:val="left"/>
      <w:pPr>
        <w:tabs>
          <w:tab w:val="num" w:pos="1800"/>
        </w:tabs>
        <w:ind w:left="1800" w:hanging="360"/>
      </w:pPr>
      <w:rPr>
        <w:rFonts w:ascii="Wingdings" w:hAnsi="Wingdings" w:cs="Wingdings" w:hint="default"/>
      </w:rPr>
    </w:lvl>
    <w:lvl w:ilvl="3" w:tplc="10090001">
      <w:start w:val="1"/>
      <w:numFmt w:val="bullet"/>
      <w:lvlText w:val=""/>
      <w:lvlJc w:val="left"/>
      <w:pPr>
        <w:tabs>
          <w:tab w:val="num" w:pos="2520"/>
        </w:tabs>
        <w:ind w:left="2520" w:hanging="360"/>
      </w:pPr>
      <w:rPr>
        <w:rFonts w:ascii="Symbol" w:hAnsi="Symbol" w:cs="Symbol" w:hint="default"/>
      </w:rPr>
    </w:lvl>
    <w:lvl w:ilvl="4" w:tplc="10090003">
      <w:start w:val="1"/>
      <w:numFmt w:val="bullet"/>
      <w:lvlText w:val="o"/>
      <w:lvlJc w:val="left"/>
      <w:pPr>
        <w:tabs>
          <w:tab w:val="num" w:pos="3240"/>
        </w:tabs>
        <w:ind w:left="3240" w:hanging="360"/>
      </w:pPr>
      <w:rPr>
        <w:rFonts w:ascii="Courier New" w:hAnsi="Courier New" w:cs="Courier New" w:hint="default"/>
      </w:rPr>
    </w:lvl>
    <w:lvl w:ilvl="5" w:tplc="10090005">
      <w:start w:val="1"/>
      <w:numFmt w:val="bullet"/>
      <w:lvlText w:val=""/>
      <w:lvlJc w:val="left"/>
      <w:pPr>
        <w:tabs>
          <w:tab w:val="num" w:pos="3960"/>
        </w:tabs>
        <w:ind w:left="3960" w:hanging="360"/>
      </w:pPr>
      <w:rPr>
        <w:rFonts w:ascii="Wingdings" w:hAnsi="Wingdings" w:cs="Wingdings" w:hint="default"/>
      </w:rPr>
    </w:lvl>
    <w:lvl w:ilvl="6" w:tplc="10090001">
      <w:start w:val="1"/>
      <w:numFmt w:val="bullet"/>
      <w:lvlText w:val=""/>
      <w:lvlJc w:val="left"/>
      <w:pPr>
        <w:tabs>
          <w:tab w:val="num" w:pos="4680"/>
        </w:tabs>
        <w:ind w:left="4680" w:hanging="360"/>
      </w:pPr>
      <w:rPr>
        <w:rFonts w:ascii="Symbol" w:hAnsi="Symbol" w:cs="Symbol" w:hint="default"/>
      </w:rPr>
    </w:lvl>
    <w:lvl w:ilvl="7" w:tplc="10090003">
      <w:start w:val="1"/>
      <w:numFmt w:val="bullet"/>
      <w:lvlText w:val="o"/>
      <w:lvlJc w:val="left"/>
      <w:pPr>
        <w:tabs>
          <w:tab w:val="num" w:pos="5400"/>
        </w:tabs>
        <w:ind w:left="5400" w:hanging="360"/>
      </w:pPr>
      <w:rPr>
        <w:rFonts w:ascii="Courier New" w:hAnsi="Courier New" w:cs="Courier New" w:hint="default"/>
      </w:rPr>
    </w:lvl>
    <w:lvl w:ilvl="8" w:tplc="10090005">
      <w:start w:val="1"/>
      <w:numFmt w:val="bullet"/>
      <w:lvlText w:val=""/>
      <w:lvlJc w:val="left"/>
      <w:pPr>
        <w:tabs>
          <w:tab w:val="num" w:pos="6120"/>
        </w:tabs>
        <w:ind w:left="6120" w:hanging="360"/>
      </w:pPr>
      <w:rPr>
        <w:rFonts w:ascii="Wingdings" w:hAnsi="Wingdings" w:cs="Wingdings" w:hint="default"/>
      </w:rPr>
    </w:lvl>
  </w:abstractNum>
  <w:abstractNum w:abstractNumId="15">
    <w:nsid w:val="691B0F86"/>
    <w:multiLevelType w:val="hybridMultilevel"/>
    <w:tmpl w:val="6344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5E25D4"/>
    <w:multiLevelType w:val="hybridMultilevel"/>
    <w:tmpl w:val="E876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3"/>
  </w:num>
  <w:num w:numId="4">
    <w:abstractNumId w:val="15"/>
  </w:num>
  <w:num w:numId="5">
    <w:abstractNumId w:val="11"/>
  </w:num>
  <w:num w:numId="6">
    <w:abstractNumId w:val="10"/>
  </w:num>
  <w:num w:numId="7">
    <w:abstractNumId w:val="1"/>
  </w:num>
  <w:num w:numId="8">
    <w:abstractNumId w:val="4"/>
  </w:num>
  <w:num w:numId="9">
    <w:abstractNumId w:val="8"/>
  </w:num>
  <w:num w:numId="10">
    <w:abstractNumId w:val="12"/>
  </w:num>
  <w:num w:numId="11">
    <w:abstractNumId w:val="5"/>
  </w:num>
  <w:num w:numId="12">
    <w:abstractNumId w:val="7"/>
  </w:num>
  <w:num w:numId="13">
    <w:abstractNumId w:val="2"/>
  </w:num>
  <w:num w:numId="14">
    <w:abstractNumId w:val="14"/>
  </w:num>
  <w:num w:numId="15">
    <w:abstractNumId w:val="9"/>
  </w:num>
  <w:num w:numId="16">
    <w:abstractNumId w:val="1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379A8"/>
    <w:rsid w:val="0001113F"/>
    <w:rsid w:val="0002258D"/>
    <w:rsid w:val="00022672"/>
    <w:rsid w:val="00030D43"/>
    <w:rsid w:val="0003234E"/>
    <w:rsid w:val="00046A0C"/>
    <w:rsid w:val="000530E9"/>
    <w:rsid w:val="00065ADB"/>
    <w:rsid w:val="00071DD9"/>
    <w:rsid w:val="00073FAB"/>
    <w:rsid w:val="0008035F"/>
    <w:rsid w:val="0008253D"/>
    <w:rsid w:val="00114673"/>
    <w:rsid w:val="001272C2"/>
    <w:rsid w:val="0015397F"/>
    <w:rsid w:val="001572BA"/>
    <w:rsid w:val="00193ECB"/>
    <w:rsid w:val="001966EA"/>
    <w:rsid w:val="001A4750"/>
    <w:rsid w:val="001B52AC"/>
    <w:rsid w:val="001C334B"/>
    <w:rsid w:val="001D27DB"/>
    <w:rsid w:val="001F35AA"/>
    <w:rsid w:val="00202AEE"/>
    <w:rsid w:val="00217C9D"/>
    <w:rsid w:val="0023003C"/>
    <w:rsid w:val="0024145C"/>
    <w:rsid w:val="00242F8F"/>
    <w:rsid w:val="00246A11"/>
    <w:rsid w:val="00260409"/>
    <w:rsid w:val="00273B8A"/>
    <w:rsid w:val="0027447B"/>
    <w:rsid w:val="0028022D"/>
    <w:rsid w:val="00292292"/>
    <w:rsid w:val="002B4317"/>
    <w:rsid w:val="002B453A"/>
    <w:rsid w:val="002B46D1"/>
    <w:rsid w:val="002B58BC"/>
    <w:rsid w:val="002C7832"/>
    <w:rsid w:val="002E5334"/>
    <w:rsid w:val="002E66E3"/>
    <w:rsid w:val="002F089C"/>
    <w:rsid w:val="002F7603"/>
    <w:rsid w:val="0030196F"/>
    <w:rsid w:val="00337D6C"/>
    <w:rsid w:val="00346DD7"/>
    <w:rsid w:val="0035176A"/>
    <w:rsid w:val="00372EA5"/>
    <w:rsid w:val="00381AD2"/>
    <w:rsid w:val="00393C63"/>
    <w:rsid w:val="003A1718"/>
    <w:rsid w:val="003C7D3D"/>
    <w:rsid w:val="003D6104"/>
    <w:rsid w:val="003F7E57"/>
    <w:rsid w:val="0040788D"/>
    <w:rsid w:val="00414903"/>
    <w:rsid w:val="00427844"/>
    <w:rsid w:val="00476392"/>
    <w:rsid w:val="004810D1"/>
    <w:rsid w:val="004941B0"/>
    <w:rsid w:val="004E02BC"/>
    <w:rsid w:val="004F47EC"/>
    <w:rsid w:val="005379A8"/>
    <w:rsid w:val="005406C9"/>
    <w:rsid w:val="00545906"/>
    <w:rsid w:val="005908ED"/>
    <w:rsid w:val="00592615"/>
    <w:rsid w:val="005B2A2C"/>
    <w:rsid w:val="005C7EDB"/>
    <w:rsid w:val="005D2F9F"/>
    <w:rsid w:val="005D54CB"/>
    <w:rsid w:val="005F7635"/>
    <w:rsid w:val="00602FCE"/>
    <w:rsid w:val="00604B16"/>
    <w:rsid w:val="006423B2"/>
    <w:rsid w:val="00644C9B"/>
    <w:rsid w:val="0065032C"/>
    <w:rsid w:val="006517FD"/>
    <w:rsid w:val="00651A57"/>
    <w:rsid w:val="00675949"/>
    <w:rsid w:val="00677B4F"/>
    <w:rsid w:val="00685D07"/>
    <w:rsid w:val="006E2AC1"/>
    <w:rsid w:val="00704C9D"/>
    <w:rsid w:val="007207FA"/>
    <w:rsid w:val="00724986"/>
    <w:rsid w:val="00744785"/>
    <w:rsid w:val="00753F2B"/>
    <w:rsid w:val="00761A82"/>
    <w:rsid w:val="00763D70"/>
    <w:rsid w:val="007663E9"/>
    <w:rsid w:val="007724E0"/>
    <w:rsid w:val="00780E74"/>
    <w:rsid w:val="00786915"/>
    <w:rsid w:val="007B4E8F"/>
    <w:rsid w:val="007D2EE4"/>
    <w:rsid w:val="007E50A1"/>
    <w:rsid w:val="00804C50"/>
    <w:rsid w:val="008320BA"/>
    <w:rsid w:val="00853B29"/>
    <w:rsid w:val="00854C75"/>
    <w:rsid w:val="00863DE2"/>
    <w:rsid w:val="008A44EB"/>
    <w:rsid w:val="008D15C1"/>
    <w:rsid w:val="008E31D5"/>
    <w:rsid w:val="008E451E"/>
    <w:rsid w:val="008F0418"/>
    <w:rsid w:val="00907634"/>
    <w:rsid w:val="00920024"/>
    <w:rsid w:val="00944B34"/>
    <w:rsid w:val="009603C9"/>
    <w:rsid w:val="0098673A"/>
    <w:rsid w:val="00992FBA"/>
    <w:rsid w:val="009A2D08"/>
    <w:rsid w:val="009B6CB8"/>
    <w:rsid w:val="009D3E88"/>
    <w:rsid w:val="009E4F8B"/>
    <w:rsid w:val="009E590F"/>
    <w:rsid w:val="009E67A6"/>
    <w:rsid w:val="009E6BF6"/>
    <w:rsid w:val="009F1776"/>
    <w:rsid w:val="00A004C6"/>
    <w:rsid w:val="00A245CE"/>
    <w:rsid w:val="00A47D79"/>
    <w:rsid w:val="00A56FB7"/>
    <w:rsid w:val="00A6457A"/>
    <w:rsid w:val="00AA2698"/>
    <w:rsid w:val="00AC3070"/>
    <w:rsid w:val="00B15A7A"/>
    <w:rsid w:val="00B16FEE"/>
    <w:rsid w:val="00B22D08"/>
    <w:rsid w:val="00B607C9"/>
    <w:rsid w:val="00BA3B60"/>
    <w:rsid w:val="00BB6770"/>
    <w:rsid w:val="00BD0CC6"/>
    <w:rsid w:val="00BD589F"/>
    <w:rsid w:val="00BE65E2"/>
    <w:rsid w:val="00BF0D5A"/>
    <w:rsid w:val="00C03BA1"/>
    <w:rsid w:val="00C117C3"/>
    <w:rsid w:val="00C23614"/>
    <w:rsid w:val="00C313C5"/>
    <w:rsid w:val="00C36E39"/>
    <w:rsid w:val="00C52CDF"/>
    <w:rsid w:val="00C56CB2"/>
    <w:rsid w:val="00C640FA"/>
    <w:rsid w:val="00C71191"/>
    <w:rsid w:val="00C81E9A"/>
    <w:rsid w:val="00C93821"/>
    <w:rsid w:val="00C95585"/>
    <w:rsid w:val="00C9634B"/>
    <w:rsid w:val="00CC18F7"/>
    <w:rsid w:val="00CD7E03"/>
    <w:rsid w:val="00D147DA"/>
    <w:rsid w:val="00D20890"/>
    <w:rsid w:val="00D24216"/>
    <w:rsid w:val="00D317CB"/>
    <w:rsid w:val="00D4348F"/>
    <w:rsid w:val="00D50E87"/>
    <w:rsid w:val="00D531C5"/>
    <w:rsid w:val="00D57B79"/>
    <w:rsid w:val="00D57DC5"/>
    <w:rsid w:val="00D65082"/>
    <w:rsid w:val="00D67936"/>
    <w:rsid w:val="00D7654C"/>
    <w:rsid w:val="00DB7D9D"/>
    <w:rsid w:val="00DC3443"/>
    <w:rsid w:val="00DE0F67"/>
    <w:rsid w:val="00E02AC3"/>
    <w:rsid w:val="00E07E6D"/>
    <w:rsid w:val="00E161C3"/>
    <w:rsid w:val="00E30865"/>
    <w:rsid w:val="00E36CE5"/>
    <w:rsid w:val="00ED3FF1"/>
    <w:rsid w:val="00ED5D44"/>
    <w:rsid w:val="00F1103A"/>
    <w:rsid w:val="00F15089"/>
    <w:rsid w:val="00F23953"/>
    <w:rsid w:val="00F35CE4"/>
    <w:rsid w:val="00F35EDB"/>
    <w:rsid w:val="00F36D20"/>
    <w:rsid w:val="00F37ADC"/>
    <w:rsid w:val="00F73F38"/>
    <w:rsid w:val="00F87188"/>
    <w:rsid w:val="00F90E82"/>
    <w:rsid w:val="00F94723"/>
    <w:rsid w:val="00FA6A30"/>
    <w:rsid w:val="00FD1BDA"/>
    <w:rsid w:val="00FD649B"/>
    <w:rsid w:val="00FF3B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A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844"/>
    <w:pPr>
      <w:ind w:left="720"/>
      <w:contextualSpacing/>
    </w:pPr>
  </w:style>
  <w:style w:type="paragraph" w:styleId="BalloonText">
    <w:name w:val="Balloon Text"/>
    <w:basedOn w:val="Normal"/>
    <w:link w:val="BalloonTextChar"/>
    <w:uiPriority w:val="99"/>
    <w:semiHidden/>
    <w:unhideWhenUsed/>
    <w:rsid w:val="00C03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BA1"/>
    <w:rPr>
      <w:rFonts w:ascii="Tahoma" w:hAnsi="Tahoma" w:cs="Tahoma"/>
      <w:sz w:val="16"/>
      <w:szCs w:val="16"/>
    </w:rPr>
  </w:style>
  <w:style w:type="paragraph" w:styleId="BodyText2">
    <w:name w:val="Body Text 2"/>
    <w:basedOn w:val="Normal"/>
    <w:link w:val="BodyText2Char"/>
    <w:rsid w:val="00114673"/>
    <w:pPr>
      <w:overflowPunct w:val="0"/>
      <w:autoSpaceDE w:val="0"/>
      <w:autoSpaceDN w:val="0"/>
      <w:adjustRightInd w:val="0"/>
      <w:spacing w:after="0" w:line="240" w:lineRule="auto"/>
      <w:jc w:val="both"/>
      <w:textAlignment w:val="baseline"/>
    </w:pPr>
    <w:rPr>
      <w:rFonts w:ascii="Arial" w:eastAsia="Times New Roman" w:hAnsi="Arial" w:cs="Times New Roman"/>
      <w:color w:val="FF0000"/>
      <w:sz w:val="24"/>
      <w:szCs w:val="20"/>
      <w:lang w:val="en-GB"/>
    </w:rPr>
  </w:style>
  <w:style w:type="character" w:customStyle="1" w:styleId="BodyText2Char">
    <w:name w:val="Body Text 2 Char"/>
    <w:basedOn w:val="DefaultParagraphFont"/>
    <w:link w:val="BodyText2"/>
    <w:rsid w:val="00114673"/>
    <w:rPr>
      <w:rFonts w:ascii="Arial" w:eastAsia="Times New Roman" w:hAnsi="Arial" w:cs="Times New Roman"/>
      <w:color w:val="FF0000"/>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 xsi:nil="true"/>
    <UNDPFocusAreasTaxHTField0 xmlns="1ed4137b-41b2-488b-8250-6d369ec27664">
      <Terms xmlns="http://schemas.microsoft.com/office/infopath/2007/PartnerControl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LSO</TermName>
          <TermId xmlns="http://schemas.microsoft.com/office/infopath/2007/PartnerControls">75276b2a-9ecc-4df8-8b39-58fdb75bde3e</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ATLASPDC-4-41404</_dlc_DocId>
    <TaxCatchAll xmlns="1ed4137b-41b2-488b-8250-6d369ec27664">
      <Value>1112</Value>
      <Value>1502</Value>
      <Value>1</Value>
      <Value>763</Value>
    </TaxCatchAll>
    <_Publisher xmlns="http://schemas.microsoft.com/sharepoint/v3/fields" xsi:nil="true"/>
    <UndpDocStatus xmlns="1ed4137b-41b2-488b-8250-6d369ec27664">Approved</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2015-10-21T14:00:00+00:00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00058985</UndpProjectNo>
    <_dlc_DocIdUrl xmlns="f1161f5b-24a3-4c2d-bc81-44cb9325e8ee">
      <Url>https://info.undp.org/docs/pdc/_layouts/DocIdRedir.aspx?ID=ATLASPDC-4-41404</Url>
      <Description>ATLASPDC-4-41404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73833A1C-B193-459E-B241-1D2AC7AE30A0}"/>
</file>

<file path=customXml/itemProps2.xml><?xml version="1.0" encoding="utf-8"?>
<ds:datastoreItem xmlns:ds="http://schemas.openxmlformats.org/officeDocument/2006/customXml" ds:itemID="{681DC9E0-F8F3-4BA5-8790-D533B9B35836}"/>
</file>

<file path=customXml/itemProps3.xml><?xml version="1.0" encoding="utf-8"?>
<ds:datastoreItem xmlns:ds="http://schemas.openxmlformats.org/officeDocument/2006/customXml" ds:itemID="{61067C2D-DF96-4F82-9AED-F9CEDABDE4C6}"/>
</file>

<file path=customXml/itemProps4.xml><?xml version="1.0" encoding="utf-8"?>
<ds:datastoreItem xmlns:ds="http://schemas.openxmlformats.org/officeDocument/2006/customXml" ds:itemID="{590ABAB9-EC58-4473-AFFD-FE1E85DC5F5E}"/>
</file>

<file path=customXml/itemProps5.xml><?xml version="1.0" encoding="utf-8"?>
<ds:datastoreItem xmlns:ds="http://schemas.openxmlformats.org/officeDocument/2006/customXml" ds:itemID="{9A87E996-D6C7-415E-8A9D-5CC469FC0FEE}"/>
</file>

<file path=customXml/itemProps6.xml><?xml version="1.0" encoding="utf-8"?>
<ds:datastoreItem xmlns:ds="http://schemas.openxmlformats.org/officeDocument/2006/customXml" ds:itemID="{7A554BB6-F848-488D-8967-9ABD9E402DA3}"/>
</file>

<file path=docProps/app.xml><?xml version="1.0" encoding="utf-8"?>
<Properties xmlns="http://schemas.openxmlformats.org/officeDocument/2006/extended-properties" xmlns:vt="http://schemas.openxmlformats.org/officeDocument/2006/docPropsVTypes">
  <Template>Normal</Template>
  <TotalTime>2</TotalTime>
  <Pages>7</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lastModifiedBy>limomane.peshoane</cp:lastModifiedBy>
  <cp:revision>2</cp:revision>
  <cp:lastPrinted>2011-02-10T07:53:00Z</cp:lastPrinted>
  <dcterms:created xsi:type="dcterms:W3CDTF">2013-01-10T12:45:00Z</dcterms:created>
  <dcterms:modified xsi:type="dcterms:W3CDTF">2013-01-10T12:45:00Z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las_x0020_Document_x0020_Type">
    <vt:lpwstr>236;#Progress Report|cafb2bdd-31de-4683-a84c-29af809cca57</vt:lpwstr>
  </property>
  <property fmtid="{D5CDD505-2E9C-101B-9397-08002B2CF9AE}" pid="3" name="UNDPCountry">
    <vt:lpwstr/>
  </property>
  <property fmtid="{D5CDD505-2E9C-101B-9397-08002B2CF9AE}" pid="4" name="UNDPDocumentCategory">
    <vt:lpwstr/>
  </property>
  <property fmtid="{D5CDD505-2E9C-101B-9397-08002B2CF9AE}" pid="5" name="ContentTypeId">
    <vt:lpwstr>0x010100F075C04BA242A84ABD3293E3AD35CDA400AB50428DC784B44FAACCAA5FAE40C0590045B5E632B552204ABF0E616DD66BDA0F</vt:lpwstr>
  </property>
  <property fmtid="{D5CDD505-2E9C-101B-9397-08002B2CF9AE}" pid="6" name="UnitTaxHTField0">
    <vt:lpwstr/>
  </property>
  <property fmtid="{D5CDD505-2E9C-101B-9397-08002B2CF9AE}" pid="7" name="UN Languages">
    <vt:lpwstr>1;#English|7f98b732-4b5b-4b70-ba90-a0eff09b5d2d</vt:lpwstr>
  </property>
  <property fmtid="{D5CDD505-2E9C-101B-9397-08002B2CF9AE}" pid="8" name="Operating Unit0">
    <vt:lpwstr>1502;#LSO|75276b2a-9ecc-4df8-8b39-58fdb75bde3e</vt:lpwstr>
  </property>
  <property fmtid="{D5CDD505-2E9C-101B-9397-08002B2CF9AE}" pid="9" name="Atlas Document Status">
    <vt:lpwstr>763;#Draft|121d40a5-e62e-4d42-82e4-d6d12003de0a</vt:lpwstr>
  </property>
  <property fmtid="{D5CDD505-2E9C-101B-9397-08002B2CF9AE}" pid="10" name="_dlc_DocIdItemGuid">
    <vt:lpwstr>b6d26f63-a766-4852-8f10-bed9922fede8</vt:lpwstr>
  </property>
  <property fmtid="{D5CDD505-2E9C-101B-9397-08002B2CF9AE}" pid="11" name="Atlas Document Type">
    <vt:lpwstr>1112;#Progress Report|03c70d0e-c75e-4cfb-8288-e692640ede14</vt:lpwstr>
  </property>
  <property fmtid="{D5CDD505-2E9C-101B-9397-08002B2CF9AE}" pid="12" name="eRegFilingCodeMM">
    <vt:lpwstr/>
  </property>
  <property fmtid="{D5CDD505-2E9C-101B-9397-08002B2CF9AE}" pid="13" name="UndpUnitMM">
    <vt:lpwstr/>
  </property>
  <property fmtid="{D5CDD505-2E9C-101B-9397-08002B2CF9AE}" pid="14" name="Unit">
    <vt:lpwstr/>
  </property>
  <property fmtid="{D5CDD505-2E9C-101B-9397-08002B2CF9AE}" pid="15" name="UNDPFocusAreas">
    <vt:lpwstr/>
  </property>
  <property fmtid="{D5CDD505-2E9C-101B-9397-08002B2CF9AE}" pid="16" name="UndpDocTypeMM">
    <vt:lpwstr/>
  </property>
  <property fmtid="{D5CDD505-2E9C-101B-9397-08002B2CF9AE}" pid="17" name="URL">
    <vt:lpwstr/>
  </property>
  <property fmtid="{D5CDD505-2E9C-101B-9397-08002B2CF9AE}" pid="18" name="DocumentSetDescription">
    <vt:lpwstr/>
  </property>
</Properties>
</file>